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3" w:rsidRPr="000903DC" w:rsidRDefault="00EE39D3" w:rsidP="008136EC">
      <w:pPr>
        <w:jc w:val="center"/>
      </w:pPr>
    </w:p>
    <w:p w:rsidR="003C36F5" w:rsidRPr="000903DC" w:rsidRDefault="003C36F5" w:rsidP="00A04C71">
      <w:pPr>
        <w:jc w:val="center"/>
      </w:pPr>
    </w:p>
    <w:p w:rsidR="003C36F5" w:rsidRPr="000903DC" w:rsidRDefault="002922B9">
      <w:pPr>
        <w:pStyle w:val="DecHTitle"/>
      </w:pPr>
      <w:r>
        <w:rPr>
          <w:szCs w:val="24"/>
        </w:rPr>
        <w:t>DEUXIÈME SECTION</w:t>
      </w:r>
    </w:p>
    <w:p w:rsidR="003C36F5" w:rsidRPr="000903DC" w:rsidRDefault="0031317E" w:rsidP="00DC44E5">
      <w:pPr>
        <w:pStyle w:val="DecHTitle"/>
        <w:rPr>
          <w:caps/>
          <w:sz w:val="32"/>
        </w:rPr>
      </w:pPr>
      <w:r w:rsidRPr="000903DC">
        <w:t>DÉCISION</w:t>
      </w:r>
    </w:p>
    <w:p w:rsidR="008E63DB" w:rsidRPr="002922B9" w:rsidRDefault="002922B9" w:rsidP="00DD2564">
      <w:pPr>
        <w:pStyle w:val="ECHRTitleCentre2"/>
      </w:pPr>
      <w:r w:rsidRPr="002922B9">
        <w:t>Requête n</w:t>
      </w:r>
      <w:r w:rsidRPr="002922B9">
        <w:rPr>
          <w:vertAlign w:val="superscript"/>
        </w:rPr>
        <w:t>o</w:t>
      </w:r>
      <w:r w:rsidR="000776E7" w:rsidRPr="002922B9">
        <w:t xml:space="preserve"> </w:t>
      </w:r>
      <w:r w:rsidRPr="002922B9">
        <w:t>13139/08</w:t>
      </w:r>
      <w:r w:rsidR="000776E7" w:rsidRPr="002922B9">
        <w:br/>
      </w:r>
      <w:r w:rsidRPr="002922B9">
        <w:t>Francesco STEFANELLI</w:t>
      </w:r>
      <w:r w:rsidRPr="002922B9">
        <w:br/>
      </w:r>
      <w:r w:rsidR="009778E2" w:rsidRPr="002922B9">
        <w:t xml:space="preserve">contre </w:t>
      </w:r>
      <w:r w:rsidRPr="002922B9">
        <w:t>l</w:t>
      </w:r>
      <w:r w:rsidR="00CA3210">
        <w:t>’</w:t>
      </w:r>
      <w:r w:rsidRPr="002922B9">
        <w:t>Italie</w:t>
      </w:r>
    </w:p>
    <w:p w:rsidR="002922B9" w:rsidRPr="00D179B1" w:rsidRDefault="002922B9" w:rsidP="00CD0DF3">
      <w:pPr>
        <w:pStyle w:val="JuParaChar"/>
      </w:pPr>
      <w:r w:rsidRPr="00D179B1">
        <w:t>La Cour européenne des droits de l</w:t>
      </w:r>
      <w:r w:rsidR="00CA3210">
        <w:t>’</w:t>
      </w:r>
      <w:r w:rsidRPr="00D179B1">
        <w:t xml:space="preserve">homme (deuxième section), siégeant le </w:t>
      </w:r>
      <w:r>
        <w:t>14 janvier 2014</w:t>
      </w:r>
      <w:r w:rsidRPr="00114702">
        <w:t xml:space="preserve"> </w:t>
      </w:r>
      <w:r w:rsidRPr="00D179B1">
        <w:t>en une chambre composée de :</w:t>
      </w:r>
    </w:p>
    <w:p w:rsidR="002922B9" w:rsidRPr="00D179B1" w:rsidRDefault="002922B9" w:rsidP="002922B9">
      <w:pPr>
        <w:pStyle w:val="ECHRDecisionBody"/>
        <w:rPr>
          <w:iCs/>
        </w:rPr>
      </w:pPr>
      <w:r w:rsidRPr="00F733C5">
        <w:tab/>
        <w:t>Işıl</w:t>
      </w:r>
      <w:r>
        <w:t xml:space="preserve"> </w:t>
      </w:r>
      <w:r w:rsidRPr="00F733C5">
        <w:t>Karakaş</w:t>
      </w:r>
      <w:r>
        <w:t>,</w:t>
      </w:r>
      <w:r w:rsidRPr="00F733C5">
        <w:rPr>
          <w:i/>
        </w:rPr>
        <w:t xml:space="preserve"> présidente,</w:t>
      </w:r>
      <w:r>
        <w:rPr>
          <w:i/>
        </w:rPr>
        <w:br/>
      </w:r>
      <w:r w:rsidRPr="00F733C5">
        <w:tab/>
        <w:t>Guido</w:t>
      </w:r>
      <w:r>
        <w:t xml:space="preserve"> </w:t>
      </w:r>
      <w:r w:rsidRPr="00F733C5">
        <w:t>Raimondi</w:t>
      </w:r>
      <w:r>
        <w:t>,</w:t>
      </w:r>
      <w:r>
        <w:rPr>
          <w:i/>
        </w:rPr>
        <w:br/>
      </w:r>
      <w:r w:rsidRPr="00F733C5">
        <w:tab/>
        <w:t>Dragoljub</w:t>
      </w:r>
      <w:r>
        <w:t xml:space="preserve"> </w:t>
      </w:r>
      <w:r w:rsidRPr="00F733C5">
        <w:t>Popović</w:t>
      </w:r>
      <w:r>
        <w:t>,</w:t>
      </w:r>
      <w:r>
        <w:rPr>
          <w:i/>
        </w:rPr>
        <w:br/>
      </w:r>
      <w:r w:rsidRPr="00F733C5">
        <w:tab/>
        <w:t>András</w:t>
      </w:r>
      <w:r>
        <w:t xml:space="preserve"> </w:t>
      </w:r>
      <w:r w:rsidRPr="00F733C5">
        <w:t>Sajó</w:t>
      </w:r>
      <w:r>
        <w:t>,</w:t>
      </w:r>
      <w:r>
        <w:rPr>
          <w:i/>
        </w:rPr>
        <w:br/>
      </w:r>
      <w:r w:rsidRPr="00F733C5">
        <w:tab/>
        <w:t>Nebojša</w:t>
      </w:r>
      <w:r>
        <w:t xml:space="preserve"> </w:t>
      </w:r>
      <w:r w:rsidRPr="00F733C5">
        <w:t>Vučinić</w:t>
      </w:r>
      <w:r>
        <w:t>,</w:t>
      </w:r>
      <w:r>
        <w:rPr>
          <w:i/>
        </w:rPr>
        <w:br/>
      </w:r>
      <w:r w:rsidRPr="00F733C5">
        <w:tab/>
        <w:t>Paulo</w:t>
      </w:r>
      <w:r>
        <w:t xml:space="preserve"> </w:t>
      </w:r>
      <w:r w:rsidRPr="00F733C5">
        <w:t>Pinto de Albuquerque</w:t>
      </w:r>
      <w:r>
        <w:t>,</w:t>
      </w:r>
      <w:r>
        <w:rPr>
          <w:i/>
        </w:rPr>
        <w:br/>
      </w:r>
      <w:r w:rsidRPr="00F733C5">
        <w:tab/>
        <w:t>Helen</w:t>
      </w:r>
      <w:r>
        <w:t xml:space="preserve"> </w:t>
      </w:r>
      <w:r w:rsidRPr="00F733C5">
        <w:t>Keller</w:t>
      </w:r>
      <w:r>
        <w:t>,</w:t>
      </w:r>
      <w:r w:rsidRPr="00F733C5">
        <w:rPr>
          <w:i/>
        </w:rPr>
        <w:t xml:space="preserve"> juges,</w:t>
      </w:r>
      <w:r>
        <w:rPr>
          <w:i/>
        </w:rPr>
        <w:t xml:space="preserve"> </w:t>
      </w:r>
      <w:r>
        <w:rPr>
          <w:i/>
        </w:rPr>
        <w:br/>
      </w:r>
      <w:r w:rsidRPr="00D179B1">
        <w:rPr>
          <w:rStyle w:val="JuJudgesChar"/>
        </w:rPr>
        <w:t xml:space="preserve">et de Stanley Naismith, </w:t>
      </w:r>
      <w:r w:rsidRPr="00D179B1">
        <w:rPr>
          <w:rStyle w:val="JuJudgesChar"/>
          <w:i/>
        </w:rPr>
        <w:t>greffier de section</w:t>
      </w:r>
      <w:r w:rsidRPr="00D179B1">
        <w:rPr>
          <w:rStyle w:val="JuJudgesChar"/>
        </w:rPr>
        <w:t>,</w:t>
      </w:r>
    </w:p>
    <w:p w:rsidR="002922B9" w:rsidRPr="00D179B1" w:rsidRDefault="002922B9" w:rsidP="00CD0DF3">
      <w:pPr>
        <w:pStyle w:val="JuParaChar"/>
      </w:pPr>
      <w:r w:rsidRPr="00D179B1">
        <w:t>Vu la requête susmentionnée introduite le 4 mars 2008,</w:t>
      </w:r>
    </w:p>
    <w:p w:rsidR="002922B9" w:rsidRPr="00D179B1" w:rsidRDefault="002922B9" w:rsidP="00CD0DF3">
      <w:pPr>
        <w:pStyle w:val="JuParaChar"/>
      </w:pPr>
      <w:r w:rsidRPr="00D179B1">
        <w:t>Vu les observations soumises par le gouvernement défendeur et celles présentées en réponse par le requérant,</w:t>
      </w:r>
    </w:p>
    <w:p w:rsidR="002922B9" w:rsidRPr="00D179B1" w:rsidRDefault="002922B9" w:rsidP="00CD0DF3">
      <w:pPr>
        <w:pStyle w:val="JuParaChar"/>
      </w:pPr>
      <w:r w:rsidRPr="00D179B1">
        <w:t>Après en avoir délibéré, rend la décision suivante :</w:t>
      </w:r>
    </w:p>
    <w:p w:rsidR="002922B9" w:rsidRPr="00D179B1" w:rsidRDefault="002922B9" w:rsidP="00CD0DF3">
      <w:pPr>
        <w:pStyle w:val="ECHRTitle1"/>
      </w:pPr>
      <w:r w:rsidRPr="00D179B1">
        <w:t>EN FAIT</w:t>
      </w:r>
    </w:p>
    <w:p w:rsidR="002922B9" w:rsidRPr="00D179B1" w:rsidRDefault="002922B9" w:rsidP="00CD0DF3">
      <w:pPr>
        <w:pStyle w:val="ECHRPara"/>
      </w:pPr>
      <w:r>
        <w:t>1</w:t>
      </w:r>
      <w:r w:rsidRPr="00D179B1">
        <w:t>.  Le requérant, M.</w:t>
      </w:r>
      <w:r>
        <w:t> </w:t>
      </w:r>
      <w:r w:rsidRPr="00D179B1">
        <w:t>Francesco Stefanelli, est un ressortissant italien né en 1957 et résidant à Cava De</w:t>
      </w:r>
      <w:r w:rsidR="00CA3210">
        <w:t>’</w:t>
      </w:r>
      <w:r w:rsidRPr="00D179B1">
        <w:t xml:space="preserve"> Tirreni (Salerne). Il a été représenté devant la Cour par M</w:t>
      </w:r>
      <w:r w:rsidRPr="00D179B1">
        <w:rPr>
          <w:vertAlign w:val="superscript"/>
        </w:rPr>
        <w:t>e</w:t>
      </w:r>
      <w:r w:rsidRPr="00D179B1">
        <w:t> B. Mauro, avocat à Salerne.</w:t>
      </w:r>
    </w:p>
    <w:p w:rsidR="002922B9" w:rsidRPr="00D179B1" w:rsidRDefault="002922B9" w:rsidP="00CD0DF3">
      <w:pPr>
        <w:pStyle w:val="ECHRPara"/>
      </w:pPr>
      <w:r>
        <w:t>2</w:t>
      </w:r>
      <w:r w:rsidRPr="00D179B1">
        <w:t>.  Le gouvernement italien (« le Gouvernement ») a été représenté par son agent, M</w:t>
      </w:r>
      <w:r w:rsidRPr="00D179B1">
        <w:rPr>
          <w:vertAlign w:val="superscript"/>
        </w:rPr>
        <w:t>me</w:t>
      </w:r>
      <w:r>
        <w:t> </w:t>
      </w:r>
      <w:r w:rsidRPr="00D179B1">
        <w:t>E. Spatafora, et par son co-agent, M</w:t>
      </w:r>
      <w:r w:rsidRPr="00D179B1">
        <w:rPr>
          <w:vertAlign w:val="superscript"/>
        </w:rPr>
        <w:t>me</w:t>
      </w:r>
      <w:r>
        <w:t> </w:t>
      </w:r>
      <w:r w:rsidRPr="00D179B1">
        <w:t>P. Accardo.</w:t>
      </w:r>
    </w:p>
    <w:p w:rsidR="002922B9" w:rsidRPr="00D179B1" w:rsidRDefault="002922B9" w:rsidP="00CD0DF3">
      <w:pPr>
        <w:pStyle w:val="ECHRHeading2"/>
      </w:pPr>
      <w:r w:rsidRPr="00D179B1">
        <w:t>A.  Les circonstances de l</w:t>
      </w:r>
      <w:r w:rsidR="00CA3210">
        <w:t>’</w:t>
      </w:r>
      <w:r w:rsidRPr="00D179B1">
        <w:t>espèce</w:t>
      </w:r>
    </w:p>
    <w:p w:rsidR="002922B9" w:rsidRPr="00D179B1" w:rsidRDefault="002922B9" w:rsidP="00CD0DF3">
      <w:pPr>
        <w:pStyle w:val="JuParaChar"/>
      </w:pPr>
      <w:r>
        <w:t>3</w:t>
      </w:r>
      <w:r w:rsidRPr="00D179B1">
        <w:t>.  Les faits de la cause, tels qu</w:t>
      </w:r>
      <w:r w:rsidR="00CA3210">
        <w:t>’</w:t>
      </w:r>
      <w:r w:rsidRPr="00D179B1">
        <w:t>ils ont été exposés par les parties, peuvent se résumer comme suit.</w:t>
      </w:r>
    </w:p>
    <w:p w:rsidR="002922B9" w:rsidRPr="00D179B1" w:rsidRDefault="002922B9" w:rsidP="00CD0DF3">
      <w:pPr>
        <w:pStyle w:val="ECHRPara"/>
      </w:pPr>
      <w:r>
        <w:t>4</w:t>
      </w:r>
      <w:r w:rsidRPr="00D179B1">
        <w:t>.  Le requérant est professeur dans un lycée de Sarno (Salerne). En</w:t>
      </w:r>
      <w:r>
        <w:t> </w:t>
      </w:r>
      <w:r w:rsidRPr="00D179B1">
        <w:t>2003, des investigations furent ouvertes à son encontre et à l</w:t>
      </w:r>
      <w:r w:rsidR="00CA3210">
        <w:t>’</w:t>
      </w:r>
      <w:r w:rsidRPr="00D179B1">
        <w:t>encontre d</w:t>
      </w:r>
      <w:r w:rsidR="00CA3210">
        <w:t>’</w:t>
      </w:r>
      <w:r w:rsidRPr="00D179B1">
        <w:t>autres personnes, accusées de faire partie d</w:t>
      </w:r>
      <w:r w:rsidR="00CA3210">
        <w:t>’</w:t>
      </w:r>
      <w:r w:rsidRPr="00D179B1">
        <w:t>une secte satanique responsable de profanations de cimetières et d</w:t>
      </w:r>
      <w:r w:rsidR="00CA3210">
        <w:t>’</w:t>
      </w:r>
      <w:r w:rsidRPr="00D179B1">
        <w:t>objets sacrés, de sacrifices d</w:t>
      </w:r>
      <w:r w:rsidR="00CA3210">
        <w:t>’</w:t>
      </w:r>
      <w:r w:rsidRPr="00D179B1">
        <w:t>animaux et de trafic de stupéfiants. Selon les enquêteurs, le requérant était le leader présumé du groupe. Il était soupçonné d</w:t>
      </w:r>
      <w:r w:rsidR="00CA3210">
        <w:t>’</w:t>
      </w:r>
      <w:r w:rsidRPr="00D179B1">
        <w:t>avoir incité les autres membres de la secte à se prostituer, de leur avoir fourni de la drogue et d</w:t>
      </w:r>
      <w:r w:rsidR="00CA3210">
        <w:t>’</w:t>
      </w:r>
      <w:r w:rsidRPr="00D179B1">
        <w:t>avoir incité un jeune homme à se suicider.</w:t>
      </w:r>
    </w:p>
    <w:p w:rsidR="002922B9" w:rsidRPr="00F0586E" w:rsidRDefault="002922B9" w:rsidP="00CD0DF3">
      <w:pPr>
        <w:pStyle w:val="ECHRPara"/>
      </w:pPr>
      <w:r>
        <w:t>5</w:t>
      </w:r>
      <w:r w:rsidRPr="00D179B1">
        <w:t>.  Les poursuites contre le requérant avaient commencé sur la base, entre autres, d</w:t>
      </w:r>
      <w:r w:rsidR="00CA3210">
        <w:t>’</w:t>
      </w:r>
      <w:r w:rsidRPr="00D179B1">
        <w:t>une note des services secrets qui faisait état de l</w:t>
      </w:r>
      <w:r w:rsidR="00CA3210">
        <w:t>’</w:t>
      </w:r>
      <w:r w:rsidRPr="00D179B1">
        <w:t>existence d</w:t>
      </w:r>
      <w:r w:rsidR="00CA3210">
        <w:t>’</w:t>
      </w:r>
      <w:r w:rsidRPr="00D179B1">
        <w:t xml:space="preserve">une secte </w:t>
      </w:r>
      <w:r>
        <w:t>satanique</w:t>
      </w:r>
      <w:r w:rsidRPr="00F0586E">
        <w:t>, dont le requérant aurait été le membre le plus charismati</w:t>
      </w:r>
      <w:r>
        <w:t>que.</w:t>
      </w:r>
    </w:p>
    <w:p w:rsidR="002922B9" w:rsidRPr="005D3E5F" w:rsidRDefault="002922B9" w:rsidP="00CD0DF3">
      <w:pPr>
        <w:pStyle w:val="ECHRPara"/>
      </w:pPr>
      <w:r>
        <w:t>6</w:t>
      </w:r>
      <w:r w:rsidRPr="005E487F">
        <w:t xml:space="preserve">.  Le 15 mars 2006, le parquet de Nocera Inferiore (Salerne) ordonna une perquisition au domicile du requérant. </w:t>
      </w:r>
      <w:r>
        <w:t>À</w:t>
      </w:r>
      <w:r w:rsidRPr="005E487F">
        <w:t xml:space="preserve"> cette occasion, les enquêteurs saisirent deux cassettes vidéo et trois DVD</w:t>
      </w:r>
      <w:r w:rsidRPr="005D3E5F">
        <w:t>.</w:t>
      </w:r>
    </w:p>
    <w:p w:rsidR="002922B9" w:rsidRDefault="002922B9" w:rsidP="00CD0DF3">
      <w:pPr>
        <w:pStyle w:val="ECHRPara"/>
      </w:pPr>
      <w:r>
        <w:t>7</w:t>
      </w:r>
      <w:r w:rsidRPr="005D3E5F">
        <w:t xml:space="preserve">.  Le même jour, le procureur de la République organisa une conférence de presse </w:t>
      </w:r>
      <w:r>
        <w:t>à laquelle furent présents les</w:t>
      </w:r>
      <w:r w:rsidRPr="005E487F">
        <w:t xml:space="preserve"> principaux journaux locaux. Plusieurs articles furent publiés dans les jours suivants.</w:t>
      </w:r>
    </w:p>
    <w:p w:rsidR="002922B9" w:rsidRPr="005E487F" w:rsidRDefault="002922B9" w:rsidP="00CD0DF3">
      <w:pPr>
        <w:pStyle w:val="ECHRPara"/>
      </w:pPr>
      <w:r>
        <w:t>8</w:t>
      </w:r>
      <w:r w:rsidRPr="005E487F">
        <w:t>.  Dans ses observations du 10 mai 2013, le Gouvernement indiqu</w:t>
      </w:r>
      <w:r>
        <w:t>e</w:t>
      </w:r>
      <w:r w:rsidRPr="005E487F">
        <w:t xml:space="preserve"> avoir tenté sans succès de trouver l</w:t>
      </w:r>
      <w:r w:rsidR="00CA3210">
        <w:t>’</w:t>
      </w:r>
      <w:r w:rsidRPr="005E487F">
        <w:t>enregistrement ou la transcription de cette conférence de presse.</w:t>
      </w:r>
    </w:p>
    <w:p w:rsidR="002922B9" w:rsidRPr="005E487F" w:rsidRDefault="002922B9" w:rsidP="00CD0DF3">
      <w:pPr>
        <w:pStyle w:val="ECHRPara"/>
      </w:pPr>
      <w:r>
        <w:t>9</w:t>
      </w:r>
      <w:r w:rsidRPr="005E487F">
        <w:t xml:space="preserve">.  Le 16 mars 2006, le quotidien </w:t>
      </w:r>
      <w:r w:rsidRPr="005E487F">
        <w:rPr>
          <w:i/>
        </w:rPr>
        <w:t>Agro Nocerino</w:t>
      </w:r>
      <w:r w:rsidRPr="005E487F">
        <w:t xml:space="preserve"> publia un article intitulé « </w:t>
      </w:r>
      <w:r>
        <w:t>Élève</w:t>
      </w:r>
      <w:r w:rsidRPr="005E487F">
        <w:t xml:space="preserve">s de </w:t>
      </w:r>
      <w:r>
        <w:t>Satan</w:t>
      </w:r>
      <w:r w:rsidRPr="005E487F">
        <w:t>, Sarno sous le choc. L</w:t>
      </w:r>
      <w:r w:rsidR="00CA3210">
        <w:t>’</w:t>
      </w:r>
      <w:r w:rsidRPr="005E487F">
        <w:t>enquête : le chef serait un professeur qui recrutait les adeptes dans le lycée dans lequel il enseignait ». Cet article contient le passage suivant :</w:t>
      </w:r>
    </w:p>
    <w:p w:rsidR="002922B9" w:rsidRPr="005E487F" w:rsidRDefault="002922B9" w:rsidP="00CD0DF3">
      <w:pPr>
        <w:pStyle w:val="ECHRParaQuote"/>
      </w:pPr>
      <w:r w:rsidRPr="005E487F">
        <w:t>« </w:t>
      </w:r>
      <w:r>
        <w:t>Selon les</w:t>
      </w:r>
      <w:r w:rsidRPr="005E487F">
        <w:t xml:space="preserve"> informations diffusées au cours de la conférence de presse (</w:t>
      </w:r>
      <w:r>
        <w:t>...</w:t>
      </w:r>
      <w:r w:rsidRPr="005E487F">
        <w:t>), le chef charismatique de ce groupe serait un enseignant du lycée classique de la ville de Sarno. »</w:t>
      </w:r>
    </w:p>
    <w:p w:rsidR="002922B9" w:rsidRPr="005D3E5F" w:rsidRDefault="002922B9" w:rsidP="00CD0DF3">
      <w:pPr>
        <w:pStyle w:val="ECHRPara"/>
      </w:pPr>
      <w:r>
        <w:t>10</w:t>
      </w:r>
      <w:r w:rsidRPr="005E487F">
        <w:t xml:space="preserve">.  Toujours le 16 mars 2006, le journal </w:t>
      </w:r>
      <w:r w:rsidRPr="005E487F">
        <w:rPr>
          <w:i/>
        </w:rPr>
        <w:t>La Città</w:t>
      </w:r>
      <w:r w:rsidRPr="005E487F">
        <w:t xml:space="preserve"> publia un article ayant pour titre « Sectes sataniques, dix personnes impliquées. Le chef de la bande était un professeur. Deux suicides présumés seraient liés aux événements ». Cet article fai</w:t>
      </w:r>
      <w:r>
        <w:t>sait</w:t>
      </w:r>
      <w:r w:rsidRPr="005E487F">
        <w:t xml:space="preserve"> ainsi référence aux déclarations des enquêteurs</w:t>
      </w:r>
      <w:r w:rsidRPr="005D3E5F">
        <w:t> :</w:t>
      </w:r>
    </w:p>
    <w:p w:rsidR="002922B9" w:rsidRPr="005E487F" w:rsidRDefault="002922B9" w:rsidP="00CD0DF3">
      <w:pPr>
        <w:pStyle w:val="ECHRParaQuote"/>
      </w:pPr>
      <w:r w:rsidRPr="00D179B1">
        <w:t>« </w:t>
      </w:r>
      <w:r>
        <w:t>“</w:t>
      </w:r>
      <w:r w:rsidRPr="00D179B1">
        <w:t>Nous ne voulons limiter la liberté de culte de personne</w:t>
      </w:r>
      <w:r>
        <w:t>”, affirme</w:t>
      </w:r>
      <w:r w:rsidRPr="00D179B1">
        <w:t xml:space="preserve"> le magistrat qui coordonne l</w:t>
      </w:r>
      <w:r w:rsidR="00CA3210">
        <w:t>’</w:t>
      </w:r>
      <w:r w:rsidRPr="00D179B1">
        <w:t>enquête</w:t>
      </w:r>
      <w:r>
        <w:t>,</w:t>
      </w:r>
      <w:r w:rsidRPr="00D179B1">
        <w:t xml:space="preserve"> </w:t>
      </w:r>
      <w:r>
        <w:t>“</w:t>
      </w:r>
      <w:r w:rsidRPr="00D179B1">
        <w:t>mais nous voulons vérifier si des délits ont été commis, tels que des violences sexuelles ou l</w:t>
      </w:r>
      <w:r w:rsidR="00CA3210">
        <w:t>’</w:t>
      </w:r>
      <w:r w:rsidRPr="00D179B1">
        <w:t xml:space="preserve">incitation au suicide. La liberté de culte est garantie, mais dans </w:t>
      </w:r>
      <w:r>
        <w:t xml:space="preserve">le présent </w:t>
      </w:r>
      <w:r w:rsidRPr="005E487F">
        <w:t>cas, il y a probablement eu autre chose</w:t>
      </w:r>
      <w:r>
        <w:t>”</w:t>
      </w:r>
      <w:r w:rsidRPr="005E487F">
        <w:t>. (</w:t>
      </w:r>
      <w:r>
        <w:t>...</w:t>
      </w:r>
      <w:r w:rsidRPr="005E487F">
        <w:t>)</w:t>
      </w:r>
    </w:p>
    <w:p w:rsidR="002922B9" w:rsidRPr="005E487F" w:rsidRDefault="002922B9" w:rsidP="00CD0DF3">
      <w:pPr>
        <w:pStyle w:val="ECHRParaQuote"/>
      </w:pPr>
      <w:r w:rsidRPr="005D3E5F">
        <w:t>Les investigations se sont concentrées sur le leader présumé de ce groupe, un enseignant a</w:t>
      </w:r>
      <w:r w:rsidRPr="00D179B1">
        <w:t>u lycée de Sarno, F.S. né en 1957, résidant à Cava De</w:t>
      </w:r>
      <w:r w:rsidR="00CA3210">
        <w:t>’</w:t>
      </w:r>
      <w:r w:rsidRPr="00D179B1">
        <w:t xml:space="preserve"> Tirreni. Selon les investigateurs, il aurait initié les jeunes au culte de </w:t>
      </w:r>
      <w:r>
        <w:t>Satan</w:t>
      </w:r>
      <w:r w:rsidRPr="005E487F">
        <w:t>. Son habitation a été perquisitionnée. (</w:t>
      </w:r>
      <w:r>
        <w:t>...</w:t>
      </w:r>
      <w:r w:rsidRPr="005E487F">
        <w:t>)</w:t>
      </w:r>
    </w:p>
    <w:p w:rsidR="002922B9" w:rsidRPr="005E487F" w:rsidRDefault="002922B9" w:rsidP="00CD0DF3">
      <w:pPr>
        <w:pStyle w:val="ECHRParaQuote"/>
      </w:pPr>
      <w:r>
        <w:t>Des a</w:t>
      </w:r>
      <w:r w:rsidRPr="005E487F">
        <w:t>ccusations graves qui en l</w:t>
      </w:r>
      <w:r w:rsidR="00CA3210">
        <w:t>’</w:t>
      </w:r>
      <w:r w:rsidRPr="005E487F">
        <w:t>état – d</w:t>
      </w:r>
      <w:r w:rsidR="00CA3210">
        <w:t>’</w:t>
      </w:r>
      <w:r w:rsidRPr="005E487F">
        <w:t>après les indications des enquêteurs – ne sont pas corroborées par des éléments de preuve suffisants. Le visionnage des cassettes vidéo saisies devrait permettre d</w:t>
      </w:r>
      <w:r w:rsidR="00CA3210">
        <w:t>’</w:t>
      </w:r>
      <w:r w:rsidRPr="005E487F">
        <w:t>en savoir plus.</w:t>
      </w:r>
      <w:r>
        <w:t> </w:t>
      </w:r>
      <w:r w:rsidRPr="005E487F">
        <w:t>»</w:t>
      </w:r>
    </w:p>
    <w:p w:rsidR="002922B9" w:rsidRDefault="002922B9" w:rsidP="00CD0DF3">
      <w:pPr>
        <w:pStyle w:val="ECHRPara"/>
      </w:pPr>
      <w:r>
        <w:t>11</w:t>
      </w:r>
      <w:r w:rsidRPr="005E487F">
        <w:t xml:space="preserve">.  Le 17 mars 2006, le quotidien </w:t>
      </w:r>
      <w:r w:rsidRPr="005E487F">
        <w:rPr>
          <w:i/>
        </w:rPr>
        <w:t xml:space="preserve">Il Mattino </w:t>
      </w:r>
      <w:r w:rsidRPr="005E487F">
        <w:t>publia des articles intitulés « Orgie au nom</w:t>
      </w:r>
      <w:r w:rsidRPr="00683570">
        <w:t xml:space="preserve"> de Satan, le SISDE [service secret italien] l</w:t>
      </w:r>
      <w:r w:rsidR="00CA3210">
        <w:t>’</w:t>
      </w:r>
      <w:r w:rsidRPr="00683570">
        <w:t xml:space="preserve">avait </w:t>
      </w:r>
      <w:r>
        <w:t>signalé</w:t>
      </w:r>
      <w:r w:rsidRPr="00683570">
        <w:t> </w:t>
      </w:r>
      <w:r w:rsidRPr="005E487F">
        <w:t xml:space="preserve">» et « Après le scandale, le professeur ne </w:t>
      </w:r>
      <w:r>
        <w:t>revient</w:t>
      </w:r>
      <w:r w:rsidRPr="005E487F">
        <w:t xml:space="preserve"> pas </w:t>
      </w:r>
      <w:r>
        <w:t>en classe</w:t>
      </w:r>
      <w:r w:rsidRPr="005E487F">
        <w:t> », accompagnés d</w:t>
      </w:r>
      <w:r w:rsidR="00CA3210">
        <w:t>’</w:t>
      </w:r>
      <w:r w:rsidRPr="005E487F">
        <w:t>une photographie du requérant, et dont les passages pertinents se lisent comme suit :</w:t>
      </w:r>
    </w:p>
    <w:p w:rsidR="002922B9" w:rsidRPr="005D3E5F" w:rsidRDefault="002922B9" w:rsidP="00CD0DF3">
      <w:pPr>
        <w:pStyle w:val="ECHRParaQuote"/>
      </w:pPr>
      <w:r w:rsidRPr="005E487F">
        <w:t>« Depuis hier les militaires (</w:t>
      </w:r>
      <w:r>
        <w:t>...</w:t>
      </w:r>
      <w:r w:rsidRPr="005E487F">
        <w:t>) se sont mobilisés pour visionner les vidéos qui, selon le procureur Sessa, devraient mettre tous les membres de la secte devant leurs responsabilités. Une secte au sommet de laquelle, selon les enquêteurs, se trouverait Francesco Stefanelli, c</w:t>
      </w:r>
      <w:r w:rsidR="00CA3210">
        <w:t>’</w:t>
      </w:r>
      <w:r w:rsidRPr="005E487F">
        <w:t>est</w:t>
      </w:r>
      <w:r w:rsidRPr="005D3E5F">
        <w:t>-à-dire le seul adulte parmi les dix personnes soupçonnées. »</w:t>
      </w:r>
    </w:p>
    <w:p w:rsidR="002922B9" w:rsidRPr="005E487F" w:rsidRDefault="002922B9" w:rsidP="00CD0DF3">
      <w:pPr>
        <w:pStyle w:val="ECHRParaQuote"/>
      </w:pPr>
      <w:r w:rsidRPr="005D3E5F">
        <w:t xml:space="preserve">« Et </w:t>
      </w:r>
      <w:r>
        <w:t>voici</w:t>
      </w:r>
      <w:r w:rsidRPr="005E487F">
        <w:t xml:space="preserve"> précisément celles-ci les graves accusations pesant sur Stefanelli : corruption de mineurs afin de les faire participer aux rites sataniques, incitation à la prostitution, trafic de stupéfiants. »</w:t>
      </w:r>
    </w:p>
    <w:p w:rsidR="002922B9" w:rsidRPr="00683570" w:rsidRDefault="002922B9" w:rsidP="00CD0DF3">
      <w:pPr>
        <w:pStyle w:val="ECHRParaQuote"/>
      </w:pPr>
      <w:r w:rsidRPr="005E487F">
        <w:t>« Certes, ce matin la surprise (</w:t>
      </w:r>
      <w:r>
        <w:t>...</w:t>
      </w:r>
      <w:r w:rsidRPr="005E487F">
        <w:t>) augmentera lorsqu</w:t>
      </w:r>
      <w:r w:rsidR="00CA3210">
        <w:t>’</w:t>
      </w:r>
      <w:r w:rsidRPr="005E487F">
        <w:t>on lira que la procédure judiciaire liée à l</w:t>
      </w:r>
      <w:r w:rsidR="00CA3210">
        <w:t>’</w:t>
      </w:r>
      <w:r w:rsidRPr="005E487F">
        <w:t>enseignant de Cava De</w:t>
      </w:r>
      <w:r w:rsidR="00CA3210">
        <w:t>’</w:t>
      </w:r>
      <w:r w:rsidRPr="005E487F">
        <w:t xml:space="preserve"> Tirreni part même d</w:t>
      </w:r>
      <w:r w:rsidR="00CA3210">
        <w:t>’</w:t>
      </w:r>
      <w:r w:rsidRPr="005E487F">
        <w:t>un avertissement du SISDE, le service secret civil</w:t>
      </w:r>
      <w:r>
        <w:t>,</w:t>
      </w:r>
      <w:r w:rsidRPr="005E487F">
        <w:t xml:space="preserve"> qui a</w:t>
      </w:r>
      <w:r>
        <w:t>vait</w:t>
      </w:r>
      <w:r w:rsidRPr="005E487F">
        <w:t xml:space="preserve"> rédigé une note avec une série de détails trè</w:t>
      </w:r>
      <w:r w:rsidRPr="00683570">
        <w:t>s précis sur cette secte active entre Sarno, Cava et V</w:t>
      </w:r>
      <w:r>
        <w:t>i</w:t>
      </w:r>
      <w:r w:rsidRPr="00683570">
        <w:t>etri sul Mare, jusqu</w:t>
      </w:r>
      <w:r w:rsidR="00CA3210">
        <w:t>’</w:t>
      </w:r>
      <w:r w:rsidRPr="00683570">
        <w:t xml:space="preserve">à </w:t>
      </w:r>
      <w:r>
        <w:t>faire planer son ombre</w:t>
      </w:r>
      <w:r w:rsidRPr="00683570">
        <w:t xml:space="preserve"> sur un suicide ayant eu lieu à Sarno il y a quelques années. On ne sait pas pourquoi est intervenu le SISDE, qui se met en route seulement lorsque la sécurité démocratique de l</w:t>
      </w:r>
      <w:r w:rsidR="00CA3210">
        <w:t>’</w:t>
      </w:r>
      <w:r>
        <w:t>É</w:t>
      </w:r>
      <w:r w:rsidRPr="00683570">
        <w:t>tat est en danger. »</w:t>
      </w:r>
    </w:p>
    <w:p w:rsidR="002922B9" w:rsidRPr="005D3E5F" w:rsidRDefault="002922B9" w:rsidP="00CD0DF3">
      <w:pPr>
        <w:pStyle w:val="ECHRPara"/>
      </w:pPr>
      <w:r>
        <w:t>12</w:t>
      </w:r>
      <w:r w:rsidRPr="00683570">
        <w:t xml:space="preserve">.  Le 17 mars 2006, le quotidien </w:t>
      </w:r>
      <w:r w:rsidRPr="00683570">
        <w:rPr>
          <w:i/>
        </w:rPr>
        <w:t xml:space="preserve">Il Salernitano </w:t>
      </w:r>
      <w:r w:rsidRPr="00683570">
        <w:t>publia un article, intitulé « L</w:t>
      </w:r>
      <w:r w:rsidR="00CA3210">
        <w:t>’</w:t>
      </w:r>
      <w:r w:rsidRPr="00683570">
        <w:t>enquête : le chef serait un enseignant qui recrutait des adeptes au lycée dans lequel il enseignait », dont les</w:t>
      </w:r>
      <w:r w:rsidRPr="005D3E5F">
        <w:t xml:space="preserve"> passages pertinents se lisent comme suit :</w:t>
      </w:r>
    </w:p>
    <w:p w:rsidR="002922B9" w:rsidRDefault="002922B9" w:rsidP="00CD0DF3">
      <w:pPr>
        <w:pStyle w:val="ECHRParaQuote"/>
      </w:pPr>
      <w:r w:rsidRPr="00D179B1">
        <w:t>« </w:t>
      </w:r>
      <w:r>
        <w:t>D</w:t>
      </w:r>
      <w:r w:rsidR="00CA3210">
        <w:t>’</w:t>
      </w:r>
      <w:r>
        <w:t xml:space="preserve">après ce qui ressort </w:t>
      </w:r>
      <w:r w:rsidRPr="00D179B1">
        <w:t>des nouvelles diffusées lors de la conférence de presse qui s</w:t>
      </w:r>
      <w:r w:rsidR="00CA3210">
        <w:t>’</w:t>
      </w:r>
      <w:r w:rsidRPr="00D179B1">
        <w:t xml:space="preserve">est tenue mercredi auprès du bureau du parquet de Nocera Inferiore, le chef charismatique de ce groupe serait un enseignant du lycée classique de la ville de Sarno, </w:t>
      </w:r>
      <w:r>
        <w:t>c</w:t>
      </w:r>
      <w:r w:rsidR="00CA3210">
        <w:t>’</w:t>
      </w:r>
      <w:r>
        <w:t>est</w:t>
      </w:r>
      <w:r w:rsidRPr="00D179B1">
        <w:t xml:space="preserve"> lui qui a</w:t>
      </w:r>
      <w:r>
        <w:t>urait</w:t>
      </w:r>
      <w:r w:rsidRPr="00D179B1">
        <w:t xml:space="preserve"> eu le rôle de leader de </w:t>
      </w:r>
      <w:r>
        <w:t>ces</w:t>
      </w:r>
      <w:r w:rsidRPr="00D179B1">
        <w:t xml:space="preserve"> jeunes en détresse. »</w:t>
      </w:r>
    </w:p>
    <w:p w:rsidR="002922B9" w:rsidRPr="00D179B1" w:rsidRDefault="002922B9" w:rsidP="00CD0DF3">
      <w:pPr>
        <w:pStyle w:val="ECHRPara"/>
      </w:pPr>
      <w:r>
        <w:t>13</w:t>
      </w:r>
      <w:r w:rsidRPr="00D179B1">
        <w:t xml:space="preserve">.  Le 12 avril 2006, le quotidien </w:t>
      </w:r>
      <w:r w:rsidRPr="00D179B1">
        <w:rPr>
          <w:i/>
        </w:rPr>
        <w:t xml:space="preserve">La Città </w:t>
      </w:r>
      <w:r w:rsidRPr="00D179B1">
        <w:t>relata le contenu de certains actes de la procédure (notamment, la note des services secrets et la demande de perquisition de la demeure du requérant). Les passages pertinents de l</w:t>
      </w:r>
      <w:r w:rsidR="00CA3210">
        <w:t>’</w:t>
      </w:r>
      <w:r w:rsidRPr="00D179B1">
        <w:t>article se lisent comme suit :</w:t>
      </w:r>
    </w:p>
    <w:p w:rsidR="002922B9" w:rsidRPr="00D179B1" w:rsidRDefault="002922B9" w:rsidP="00CD0DF3">
      <w:pPr>
        <w:pStyle w:val="ECHRParaQuote"/>
      </w:pPr>
      <w:r w:rsidRPr="00D179B1">
        <w:t>« On a appris que dans [certaines] zones de l</w:t>
      </w:r>
      <w:r w:rsidR="00CA3210">
        <w:t>’</w:t>
      </w:r>
      <w:r w:rsidRPr="00D179B1">
        <w:rPr>
          <w:i/>
        </w:rPr>
        <w:t>agro nocerino</w:t>
      </w:r>
      <w:r w:rsidRPr="00D179B1">
        <w:t xml:space="preserve"> (</w:t>
      </w:r>
      <w:r>
        <w:t>...</w:t>
      </w:r>
      <w:r w:rsidRPr="00D179B1">
        <w:t xml:space="preserve">) est actif un groupe composé </w:t>
      </w:r>
      <w:r>
        <w:t>essentiellement de</w:t>
      </w:r>
      <w:r w:rsidRPr="00D179B1">
        <w:t xml:space="preserve"> jeunes qui pratiquent les rites typiques du satanisme. »</w:t>
      </w:r>
    </w:p>
    <w:p w:rsidR="002922B9" w:rsidRPr="005E487F" w:rsidRDefault="002922B9" w:rsidP="00CD0DF3">
      <w:pPr>
        <w:pStyle w:val="ECHRParaQuote"/>
      </w:pPr>
      <w:r w:rsidRPr="00D179B1">
        <w:t>« Dans le cadre de</w:t>
      </w:r>
      <w:r>
        <w:t>s</w:t>
      </w:r>
      <w:r w:rsidRPr="00D179B1">
        <w:t xml:space="preserve"> contrôles contre </w:t>
      </w:r>
      <w:r>
        <w:t>le trafic</w:t>
      </w:r>
      <w:r w:rsidRPr="00D179B1">
        <w:t xml:space="preserve"> de stupéfiants (</w:t>
      </w:r>
      <w:r>
        <w:t>...</w:t>
      </w:r>
      <w:r w:rsidRPr="00D179B1">
        <w:t>)</w:t>
      </w:r>
      <w:r>
        <w:t>,</w:t>
      </w:r>
      <w:r w:rsidRPr="00D179B1">
        <w:t xml:space="preserve"> il y a </w:t>
      </w:r>
      <w:r w:rsidRPr="003A2319">
        <w:t>des raisons bien fondées</w:t>
      </w:r>
      <w:r>
        <w:t xml:space="preserve"> de tenir </w:t>
      </w:r>
      <w:r w:rsidRPr="003A2319">
        <w:t xml:space="preserve">[le requérant] </w:t>
      </w:r>
      <w:r>
        <w:t>pour</w:t>
      </w:r>
      <w:r w:rsidRPr="003A2319">
        <w:t xml:space="preserve"> un consommateur habituel de stupéfiants, mais </w:t>
      </w:r>
      <w:r>
        <w:t xml:space="preserve">aussi et </w:t>
      </w:r>
      <w:r w:rsidRPr="003A2319">
        <w:t xml:space="preserve">surtout </w:t>
      </w:r>
      <w:r>
        <w:t xml:space="preserve">pour </w:t>
      </w:r>
      <w:r w:rsidRPr="003A2319">
        <w:t xml:space="preserve">un distributeur de ces mêmes substances parmi les jeunes </w:t>
      </w:r>
      <w:r>
        <w:t>élève</w:t>
      </w:r>
      <w:r w:rsidRPr="005E487F">
        <w:t>s du lycée où il enseigne</w:t>
      </w:r>
      <w:r>
        <w:t>.</w:t>
      </w:r>
      <w:r w:rsidRPr="005E487F">
        <w:t> »</w:t>
      </w:r>
    </w:p>
    <w:p w:rsidR="00CA3210" w:rsidRDefault="002922B9" w:rsidP="00CD0DF3">
      <w:pPr>
        <w:pStyle w:val="ECHRParaQuote"/>
      </w:pPr>
      <w:r w:rsidRPr="005E487F">
        <w:t>« Il ressort de vérifications accomplies que [le requérant] est une personne plutôt agressive et violente et a été à plusieurs reprises soupçonné de coups et blessures, abus de fonctions et violation du code de la route. »</w:t>
      </w:r>
    </w:p>
    <w:p w:rsidR="00CA3210" w:rsidRDefault="002922B9" w:rsidP="00CD0DF3">
      <w:pPr>
        <w:pStyle w:val="ECHRPara"/>
      </w:pPr>
      <w:r>
        <w:t>14</w:t>
      </w:r>
      <w:r w:rsidRPr="005E487F">
        <w:t>.  </w:t>
      </w:r>
      <w:r w:rsidRPr="00683570">
        <w:t xml:space="preserve">Le quotidien </w:t>
      </w:r>
      <w:r w:rsidRPr="00683570">
        <w:rPr>
          <w:i/>
        </w:rPr>
        <w:t xml:space="preserve">La Città </w:t>
      </w:r>
      <w:r w:rsidRPr="00683570">
        <w:t>relata également le contenu d</w:t>
      </w:r>
      <w:r w:rsidR="00CA3210">
        <w:t>’</w:t>
      </w:r>
      <w:r w:rsidRPr="00683570">
        <w:t xml:space="preserve">une note des carabiniers, dont il ressortait que le requérant était une personne « de conduite morale et civile normale. Il </w:t>
      </w:r>
      <w:r>
        <w:t>n</w:t>
      </w:r>
      <w:r w:rsidR="00CA3210">
        <w:t>’</w:t>
      </w:r>
      <w:r>
        <w:t>apparaît pas</w:t>
      </w:r>
      <w:r w:rsidRPr="00683570">
        <w:t xml:space="preserve"> consomme</w:t>
      </w:r>
      <w:r>
        <w:t>r</w:t>
      </w:r>
      <w:r w:rsidRPr="00683570">
        <w:t xml:space="preserve"> des stupéfiants et il jouit d</w:t>
      </w:r>
      <w:r w:rsidR="00CA3210">
        <w:t>’</w:t>
      </w:r>
      <w:r w:rsidRPr="00683570">
        <w:t>une estime et d</w:t>
      </w:r>
      <w:r w:rsidR="00CA3210">
        <w:t>’</w:t>
      </w:r>
      <w:r w:rsidRPr="00683570">
        <w:t>une réputation normale ». Le quotidien indiqua enfin que d</w:t>
      </w:r>
      <w:r>
        <w:t>es enquêtes complémentaires</w:t>
      </w:r>
      <w:r w:rsidRPr="00683570">
        <w:t xml:space="preserve"> concernant le requérant n</w:t>
      </w:r>
      <w:r w:rsidR="00CA3210">
        <w:t>’</w:t>
      </w:r>
      <w:r w:rsidRPr="00683570">
        <w:t xml:space="preserve">avaient </w:t>
      </w:r>
      <w:r>
        <w:t>rien apporté de</w:t>
      </w:r>
      <w:r w:rsidRPr="00683570">
        <w:t xml:space="preserve"> significati</w:t>
      </w:r>
      <w:r>
        <w:t>f</w:t>
      </w:r>
      <w:r w:rsidRPr="00683570">
        <w:t>.</w:t>
      </w:r>
    </w:p>
    <w:p w:rsidR="002922B9" w:rsidRPr="00D179B1" w:rsidRDefault="002922B9" w:rsidP="00CD0DF3">
      <w:pPr>
        <w:pStyle w:val="ECHRPara"/>
      </w:pPr>
      <w:r>
        <w:t>15</w:t>
      </w:r>
      <w:r w:rsidRPr="00683570">
        <w:t>.  Les 26 mars et 16 juillet 2007, le requérant demanda au parquet de Naples, au ministre de la Justice et au Président de la République de vérifier si des irrégularités avaient eu lieu dans le cadre de l</w:t>
      </w:r>
      <w:r w:rsidR="00CA3210">
        <w:t>’</w:t>
      </w:r>
      <w:r w:rsidRPr="00683570">
        <w:t xml:space="preserve">enquête dirigée à </w:t>
      </w:r>
      <w:r w:rsidRPr="005D3E5F">
        <w:t>son encontre. L</w:t>
      </w:r>
      <w:r w:rsidR="00CA3210">
        <w:t>’</w:t>
      </w:r>
      <w:r w:rsidRPr="005D3E5F">
        <w:t xml:space="preserve">issue de ces </w:t>
      </w:r>
      <w:r w:rsidRPr="00D179B1">
        <w:t>demandes n</w:t>
      </w:r>
      <w:r w:rsidR="00CA3210">
        <w:t>’</w:t>
      </w:r>
      <w:r w:rsidRPr="00D179B1">
        <w:t>est pas connue.</w:t>
      </w:r>
    </w:p>
    <w:p w:rsidR="002922B9" w:rsidRPr="005E487F" w:rsidRDefault="002922B9" w:rsidP="00CD0DF3">
      <w:pPr>
        <w:pStyle w:val="JuParaChar"/>
      </w:pPr>
      <w:r>
        <w:t>16</w:t>
      </w:r>
      <w:r w:rsidRPr="00D179B1">
        <w:t xml:space="preserve">.  Le 13 juin 2008, le parquet de Nocera Inferiore demanda </w:t>
      </w:r>
      <w:r>
        <w:t>que</w:t>
      </w:r>
      <w:r w:rsidRPr="00683570">
        <w:t xml:space="preserve"> les poursuites contre le requérant</w:t>
      </w:r>
      <w:r>
        <w:t xml:space="preserve"> soient classées sans suite</w:t>
      </w:r>
      <w:r w:rsidRPr="00683570">
        <w:t>, au motif qu</w:t>
      </w:r>
      <w:r w:rsidR="00CA3210">
        <w:t>’</w:t>
      </w:r>
      <w:r w:rsidRPr="00683570">
        <w:t>il n</w:t>
      </w:r>
      <w:r w:rsidR="00CA3210">
        <w:t>’</w:t>
      </w:r>
      <w:r w:rsidRPr="00683570">
        <w:t>avait pas été possible de recueillir des preuves suffisantes pour soutenir l</w:t>
      </w:r>
      <w:r w:rsidR="00CA3210">
        <w:t>’</w:t>
      </w:r>
      <w:r w:rsidRPr="00683570">
        <w:t>accusation au cours de</w:t>
      </w:r>
      <w:r>
        <w:t>s</w:t>
      </w:r>
      <w:r w:rsidRPr="00683570">
        <w:t xml:space="preserve"> débats. Sur la base de la note des services secrets, le parquet avait procédé à des perquisitions, à des saisies </w:t>
      </w:r>
      <w:r>
        <w:t>d</w:t>
      </w:r>
      <w:r w:rsidR="00CA3210">
        <w:t>’</w:t>
      </w:r>
      <w:r>
        <w:t>objets en rapport avec le</w:t>
      </w:r>
      <w:r w:rsidRPr="00683570">
        <w:t xml:space="preserve"> satanisme, à la surveillance de personnes et </w:t>
      </w:r>
      <w:r>
        <w:t>au recueil des relevés</w:t>
      </w:r>
      <w:r w:rsidRPr="00683570">
        <w:t xml:space="preserve"> téléphoniques. Des photographies avaient été prises, et il résultait que certains suspects avaient une tendance au libertinage et à la consommation de stupéfiants. Des témoins avaient indiqué que les rites sataniques avaient lieu dans une église abandonnée et les parents du jeune qui s</w:t>
      </w:r>
      <w:r w:rsidR="00CA3210">
        <w:t>’</w:t>
      </w:r>
      <w:r w:rsidRPr="00683570">
        <w:t>était suicidé avaient affirmé que leur fils avait des délires à caractère religieux et semblait « possédé par le diable » ; cependant, aucun élément ne démontrait qu</w:t>
      </w:r>
      <w:r w:rsidR="00CA3210">
        <w:t>’</w:t>
      </w:r>
      <w:r w:rsidRPr="00683570">
        <w:t>il faisait partie d</w:t>
      </w:r>
      <w:r w:rsidR="00CA3210">
        <w:t>’</w:t>
      </w:r>
      <w:r w:rsidRPr="00683570">
        <w:t xml:space="preserve">une secte. Les témoignages recueillis sur le requérant portaient à croire que sa conduite comme enseignant ne pouvait pas être </w:t>
      </w:r>
      <w:r>
        <w:t>mise en cause</w:t>
      </w:r>
      <w:r w:rsidRPr="00683570">
        <w:t>. Le parquet observa qu</w:t>
      </w:r>
      <w:r w:rsidR="00CA3210">
        <w:t>’</w:t>
      </w:r>
      <w:r w:rsidRPr="00683570">
        <w:t>à supposer même qu</w:t>
      </w:r>
      <w:r w:rsidR="00CA3210">
        <w:t>’</w:t>
      </w:r>
      <w:r w:rsidRPr="00683570">
        <w:t>elle pût être considérée comme prouvée, l</w:t>
      </w:r>
      <w:r w:rsidR="00CA3210">
        <w:t>’</w:t>
      </w:r>
      <w:r w:rsidRPr="00683570">
        <w:t xml:space="preserve">adhésion à une secte </w:t>
      </w:r>
      <w:r>
        <w:t>satanique</w:t>
      </w:r>
      <w:r w:rsidRPr="00F0586E">
        <w:t xml:space="preserve"> n</w:t>
      </w:r>
      <w:r w:rsidR="00CA3210">
        <w:t>’</w:t>
      </w:r>
      <w:r w:rsidRPr="00F0586E">
        <w:t>était pas en tant que telle interdite par la loi. Or, il manquait la preuve des infractions dites « satellites », en l</w:t>
      </w:r>
      <w:r w:rsidR="00CA3210">
        <w:t>’</w:t>
      </w:r>
      <w:r w:rsidRPr="00F0586E">
        <w:t>espèce le trafic de drogue, les violences, l</w:t>
      </w:r>
      <w:r w:rsidR="00CA3210">
        <w:t>’</w:t>
      </w:r>
      <w:r w:rsidRPr="00F0586E">
        <w:t>abus de confiance et l</w:t>
      </w:r>
      <w:r w:rsidR="00CA3210">
        <w:t>’</w:t>
      </w:r>
      <w:r w:rsidRPr="00F0586E">
        <w:t>exploitation de la prostitution. Il y avait donc lieu de classer les accusations.</w:t>
      </w:r>
    </w:p>
    <w:p w:rsidR="002922B9" w:rsidRDefault="002922B9" w:rsidP="00CD0DF3">
      <w:pPr>
        <w:pStyle w:val="JuParaChar"/>
      </w:pPr>
      <w:r>
        <w:t>17</w:t>
      </w:r>
      <w:r w:rsidRPr="005E487F">
        <w:t>.  Par une ordonnance du 11 mai 2009, dont le texte fut déposé au greffe le 12 mai 2009, le juge des investigations préliminaires (le « GIP ») de Nocera Inferiore accueillit la demande de classement du parquet. Il observa que les investigations avaient démontré que l</w:t>
      </w:r>
      <w:r w:rsidR="00CA3210">
        <w:t>’</w:t>
      </w:r>
      <w:r w:rsidRPr="005E487F">
        <w:t>accusation était mal fondée, aucun élément n</w:t>
      </w:r>
      <w:r w:rsidR="00CA3210">
        <w:t>’</w:t>
      </w:r>
      <w:r w:rsidRPr="005E487F">
        <w:t xml:space="preserve">ayant permis de déceler une liaison quelconque entre le requérant et des sectes </w:t>
      </w:r>
      <w:r>
        <w:t>satanique</w:t>
      </w:r>
      <w:r w:rsidRPr="00F0586E">
        <w:t>s ou des milieux criminels. Aucun des accusés ne paraissait responsable d</w:t>
      </w:r>
      <w:r w:rsidR="00CA3210">
        <w:t>’</w:t>
      </w:r>
      <w:r w:rsidRPr="00F0586E">
        <w:t>infrac</w:t>
      </w:r>
      <w:r w:rsidRPr="005E487F">
        <w:t>tions pénales, y compris celles liées au trafic de stupéfiants ; tout au plus, l</w:t>
      </w:r>
      <w:r w:rsidR="00CA3210">
        <w:t>’</w:t>
      </w:r>
      <w:r w:rsidRPr="005E487F">
        <w:t>on pouvait formuler l</w:t>
      </w:r>
      <w:r w:rsidR="00CA3210">
        <w:t>’</w:t>
      </w:r>
      <w:r w:rsidRPr="005E487F">
        <w:t>hypothèse que certains prévenus faisaient usage de drogues. Enfin, rien ne prouvait que les accusés avaient incité un jeune homme à se suicider.</w:t>
      </w:r>
    </w:p>
    <w:p w:rsidR="002922B9" w:rsidRDefault="002922B9" w:rsidP="00CD0DF3">
      <w:pPr>
        <w:pStyle w:val="JuParaChar"/>
      </w:pPr>
      <w:r>
        <w:t>18.  Entre-temps, en 2007, le requérant avait entamé deux procédures civiles en diffamation à l</w:t>
      </w:r>
      <w:r w:rsidR="00CA3210">
        <w:t>’</w:t>
      </w:r>
      <w:r>
        <w:t xml:space="preserve">encontre des journaux </w:t>
      </w:r>
      <w:r>
        <w:rPr>
          <w:i/>
        </w:rPr>
        <w:t xml:space="preserve">Il Salernitano </w:t>
      </w:r>
      <w:r>
        <w:t xml:space="preserve">et </w:t>
      </w:r>
      <w:r>
        <w:rPr>
          <w:i/>
        </w:rPr>
        <w:t>Cronache del Mezzogiorno</w:t>
      </w:r>
      <w:r>
        <w:t>. Invoquant</w:t>
      </w:r>
      <w:r w:rsidRPr="005B6FF7">
        <w:t xml:space="preserve"> la responsabilité professionnelle des journaux en question</w:t>
      </w:r>
      <w:r>
        <w:t xml:space="preserve">, il </w:t>
      </w:r>
      <w:r w:rsidRPr="005B6FF7">
        <w:t xml:space="preserve">demandait à chacun </w:t>
      </w:r>
      <w:r>
        <w:t>d</w:t>
      </w:r>
      <w:r w:rsidR="00CA3210">
        <w:t>’</w:t>
      </w:r>
      <w:r w:rsidRPr="005B6FF7">
        <w:t>eux un dédommagement de 52</w:t>
      </w:r>
      <w:r>
        <w:t> </w:t>
      </w:r>
      <w:r w:rsidRPr="005B6FF7">
        <w:t>000</w:t>
      </w:r>
      <w:r>
        <w:t> </w:t>
      </w:r>
      <w:r w:rsidRPr="005B6FF7">
        <w:t>euros (EUR).</w:t>
      </w:r>
    </w:p>
    <w:p w:rsidR="002922B9" w:rsidRDefault="002922B9" w:rsidP="00CD0DF3">
      <w:pPr>
        <w:pStyle w:val="JuParaChar"/>
      </w:pPr>
      <w:r>
        <w:t>Selon les informations fournies par le requérant le 18 novembre 2013, ces deux procédures sont, à cette date, encore pendantes ; les prochaines audiences ont été fixées au 12 juin 2014 (en ce qui concerne la procédure à l</w:t>
      </w:r>
      <w:r w:rsidR="00CA3210">
        <w:t>’</w:t>
      </w:r>
      <w:r>
        <w:t xml:space="preserve">encontre de </w:t>
      </w:r>
      <w:r>
        <w:rPr>
          <w:i/>
        </w:rPr>
        <w:t>Il Salernitano</w:t>
      </w:r>
      <w:r>
        <w:t>) et au 18 février 2015 (pour ce qui est de la procédure à l</w:t>
      </w:r>
      <w:r w:rsidR="00CA3210">
        <w:t>’</w:t>
      </w:r>
      <w:r>
        <w:t xml:space="preserve">encontre de </w:t>
      </w:r>
      <w:r>
        <w:rPr>
          <w:i/>
        </w:rPr>
        <w:t>Cronache del Mezzogiorno</w:t>
      </w:r>
      <w:r>
        <w:t>).</w:t>
      </w:r>
    </w:p>
    <w:p w:rsidR="002922B9" w:rsidRPr="005E487F" w:rsidRDefault="002922B9" w:rsidP="00CD0DF3">
      <w:pPr>
        <w:pStyle w:val="ECHRHeading2"/>
      </w:pPr>
      <w:r w:rsidRPr="005E487F">
        <w:t>B.  Le droit interne pertinent</w:t>
      </w:r>
    </w:p>
    <w:p w:rsidR="002922B9" w:rsidRPr="00683570" w:rsidRDefault="002922B9" w:rsidP="00CD0DF3">
      <w:pPr>
        <w:pStyle w:val="ECHRPara"/>
      </w:pPr>
      <w:r>
        <w:t>19</w:t>
      </w:r>
      <w:r w:rsidRPr="00683570">
        <w:t>.  Dans ses parties pertinentes, l</w:t>
      </w:r>
      <w:r w:rsidR="00CA3210">
        <w:t>’</w:t>
      </w:r>
      <w:r w:rsidRPr="00683570">
        <w:t>article</w:t>
      </w:r>
      <w:r>
        <w:t> </w:t>
      </w:r>
      <w:r w:rsidRPr="00683570">
        <w:t>114 du code de procédure pénale (le « CPP ») se lit comme suit :</w:t>
      </w:r>
    </w:p>
    <w:p w:rsidR="002922B9" w:rsidRDefault="002922B9" w:rsidP="00CD0DF3">
      <w:pPr>
        <w:pStyle w:val="ECHRParaQuote"/>
      </w:pPr>
      <w:r w:rsidRPr="00683570">
        <w:t xml:space="preserve">« 1. </w:t>
      </w:r>
      <w:r>
        <w:t>La</w:t>
      </w:r>
      <w:r w:rsidRPr="00D95618">
        <w:t xml:space="preserve"> publication, même partielle ou en résumé, par la presse ou par tout autre moyen de diffusion, des actes couverts par le secret ou (</w:t>
      </w:r>
      <w:r>
        <w:t>...</w:t>
      </w:r>
      <w:r w:rsidRPr="00D95618">
        <w:t>) de leur contenu</w:t>
      </w:r>
      <w:r>
        <w:t xml:space="preserve"> est interdite.</w:t>
      </w:r>
    </w:p>
    <w:p w:rsidR="002922B9" w:rsidRDefault="002922B9" w:rsidP="00CD0DF3">
      <w:pPr>
        <w:pStyle w:val="ECHRParaQuote"/>
      </w:pPr>
      <w:r w:rsidRPr="00D95618">
        <w:t>2.  </w:t>
      </w:r>
      <w:r>
        <w:t>L</w:t>
      </w:r>
      <w:r w:rsidRPr="00D95618">
        <w:t>a publication, même partielle, des actes qui ne sont plus couverts par le secret</w:t>
      </w:r>
      <w:r>
        <w:t>,</w:t>
      </w:r>
      <w:r w:rsidRPr="00D95618">
        <w:t xml:space="preserve"> </w:t>
      </w:r>
      <w:r>
        <w:t>est</w:t>
      </w:r>
      <w:r w:rsidRPr="00D95618">
        <w:t xml:space="preserve"> interdite </w:t>
      </w:r>
      <w:r w:rsidRPr="006C02D9">
        <w:t>jusqu</w:t>
      </w:r>
      <w:r w:rsidR="00CA3210">
        <w:t>’</w:t>
      </w:r>
      <w:r w:rsidRPr="006C02D9">
        <w:t>à la conclusion des investigations préliminaires ou jusqu</w:t>
      </w:r>
      <w:r w:rsidR="00CA3210">
        <w:t>’</w:t>
      </w:r>
      <w:r w:rsidRPr="006C02D9">
        <w:t>à la fin de l</w:t>
      </w:r>
      <w:r w:rsidR="00CA3210">
        <w:t>’</w:t>
      </w:r>
      <w:r w:rsidRPr="006C02D9">
        <w:t>audience préliminaire</w:t>
      </w:r>
      <w:r w:rsidRPr="00D95618">
        <w:t>.</w:t>
      </w:r>
    </w:p>
    <w:p w:rsidR="002922B9" w:rsidRPr="00F0586E" w:rsidRDefault="002922B9" w:rsidP="00CD0DF3">
      <w:pPr>
        <w:pStyle w:val="ECHRParaQuote"/>
      </w:pPr>
      <w:r w:rsidRPr="00F0586E">
        <w:t>(</w:t>
      </w:r>
      <w:r>
        <w:t>...</w:t>
      </w:r>
      <w:r w:rsidRPr="00F0586E">
        <w:t>).</w:t>
      </w:r>
    </w:p>
    <w:p w:rsidR="002922B9" w:rsidRDefault="002922B9" w:rsidP="00CD0DF3">
      <w:pPr>
        <w:pStyle w:val="ECHRParaQuote"/>
      </w:pPr>
      <w:r w:rsidRPr="005E487F">
        <w:t>7.  La publication du contenu d</w:t>
      </w:r>
      <w:r w:rsidR="00CA3210">
        <w:t>’</w:t>
      </w:r>
      <w:r w:rsidRPr="005E487F">
        <w:t>actes non couverts par le secret est toujours admise. »</w:t>
      </w:r>
    </w:p>
    <w:p w:rsidR="002922B9" w:rsidRPr="005E487F" w:rsidRDefault="002922B9" w:rsidP="00CD0DF3">
      <w:pPr>
        <w:pStyle w:val="ECHRPara"/>
      </w:pPr>
      <w:r>
        <w:t>20</w:t>
      </w:r>
      <w:r w:rsidRPr="005E487F">
        <w:t>.  L</w:t>
      </w:r>
      <w:r w:rsidR="00CA3210">
        <w:t>’</w:t>
      </w:r>
      <w:r w:rsidRPr="005E487F">
        <w:t>article</w:t>
      </w:r>
      <w:r>
        <w:t> </w:t>
      </w:r>
      <w:r w:rsidRPr="005E487F">
        <w:t>329 du CPP dispose :</w:t>
      </w:r>
    </w:p>
    <w:p w:rsidR="002922B9" w:rsidRPr="00D95618" w:rsidRDefault="002922B9" w:rsidP="00CD0DF3">
      <w:pPr>
        <w:pStyle w:val="ECHRParaQuote"/>
      </w:pPr>
      <w:r w:rsidRPr="005E487F">
        <w:t>« 1.</w:t>
      </w:r>
      <w:r>
        <w:t xml:space="preserve"> </w:t>
      </w:r>
      <w:r w:rsidRPr="005E487F">
        <w:t>Les actes d</w:t>
      </w:r>
      <w:r w:rsidR="00CA3210">
        <w:t>’</w:t>
      </w:r>
      <w:r w:rsidRPr="005E487F">
        <w:t>investigation accomplis par le parquet et par la police judiciaire sont couverts par le secret tant que l</w:t>
      </w:r>
      <w:r w:rsidR="00CA3210">
        <w:t>’</w:t>
      </w:r>
      <w:r w:rsidRPr="005E487F">
        <w:t>accusé n</w:t>
      </w:r>
      <w:r w:rsidR="00CA3210">
        <w:t>’</w:t>
      </w:r>
      <w:r w:rsidRPr="005E487F">
        <w:t>a pas pu en</w:t>
      </w:r>
      <w:r>
        <w:t xml:space="preserve"> avoir</w:t>
      </w:r>
      <w:r w:rsidRPr="00D95618">
        <w:t xml:space="preserve"> connaissance, et ce, au plus tard, jusqu</w:t>
      </w:r>
      <w:r w:rsidR="00CA3210">
        <w:t>’</w:t>
      </w:r>
      <w:r w:rsidRPr="00D95618">
        <w:t>à la clôture des investigations préliminaires.</w:t>
      </w:r>
    </w:p>
    <w:p w:rsidR="002922B9" w:rsidRDefault="002922B9" w:rsidP="00CD0DF3">
      <w:pPr>
        <w:pStyle w:val="ECHRParaQuote"/>
      </w:pPr>
      <w:r w:rsidRPr="00D95618">
        <w:t>2.  </w:t>
      </w:r>
      <w:r>
        <w:t>Lorsque cela</w:t>
      </w:r>
      <w:r w:rsidRPr="00D95618">
        <w:t xml:space="preserve"> est nécessaire pour la continuation des investigations, le parquet peut, </w:t>
      </w:r>
      <w:r>
        <w:t>par dérogation</w:t>
      </w:r>
      <w:r w:rsidRPr="00D95618">
        <w:t xml:space="preserve"> à ce qui est prévu par l</w:t>
      </w:r>
      <w:r w:rsidR="00CA3210">
        <w:t>’</w:t>
      </w:r>
      <w:r w:rsidRPr="00D95618">
        <w:t>article</w:t>
      </w:r>
      <w:r>
        <w:t> </w:t>
      </w:r>
      <w:r w:rsidRPr="00D95618">
        <w:t>114, autoriser, par une décision motivée, la publication de certains actes ou d</w:t>
      </w:r>
      <w:r w:rsidR="00CA3210">
        <w:t>’</w:t>
      </w:r>
      <w:r w:rsidRPr="00D95618">
        <w:t>extraits de ces actes. Dans ce cas, les actes sont déposés auprès du secrétariat du parquet.</w:t>
      </w:r>
    </w:p>
    <w:p w:rsidR="002922B9" w:rsidRDefault="002922B9" w:rsidP="00CD0DF3">
      <w:pPr>
        <w:pStyle w:val="ECHRParaQuote"/>
      </w:pPr>
      <w:r w:rsidRPr="00D95618">
        <w:t>3.  Même lorsque les actes ne sont plus couverts par le secret au</w:t>
      </w:r>
      <w:r w:rsidRPr="00041E4E">
        <w:t xml:space="preserve"> sens du paragraphe</w:t>
      </w:r>
      <w:r>
        <w:t> </w:t>
      </w:r>
      <w:r w:rsidRPr="00041E4E">
        <w:t>1, le parquet, en cas de nécessité pour la continuation des investigations, peut ordonner, par une décision motivée :</w:t>
      </w:r>
    </w:p>
    <w:p w:rsidR="002922B9" w:rsidRPr="00041E4E" w:rsidRDefault="002922B9" w:rsidP="00CD0DF3">
      <w:pPr>
        <w:pStyle w:val="ECHRParaQuote"/>
      </w:pPr>
      <w:r w:rsidRPr="00041E4E">
        <w:t>a) l</w:t>
      </w:r>
      <w:r w:rsidR="00CA3210">
        <w:t>’</w:t>
      </w:r>
      <w:r w:rsidRPr="00041E4E">
        <w:t xml:space="preserve">obligation </w:t>
      </w:r>
      <w:r>
        <w:t>de</w:t>
      </w:r>
      <w:r w:rsidRPr="00041E4E">
        <w:t xml:space="preserve"> secret pour certains actes, lorsque l</w:t>
      </w:r>
      <w:r w:rsidR="00CA3210">
        <w:t>’</w:t>
      </w:r>
      <w:r w:rsidRPr="00041E4E">
        <w:t xml:space="preserve">accusé le permet ou lorsque la </w:t>
      </w:r>
      <w:r>
        <w:t>divulgation</w:t>
      </w:r>
      <w:r w:rsidRPr="00041E4E">
        <w:t xml:space="preserve"> de l</w:t>
      </w:r>
      <w:r w:rsidR="00CA3210">
        <w:t>’</w:t>
      </w:r>
      <w:r w:rsidRPr="00041E4E">
        <w:t xml:space="preserve">acte </w:t>
      </w:r>
      <w:r>
        <w:t>pourrait</w:t>
      </w:r>
      <w:r w:rsidRPr="00041E4E">
        <w:t xml:space="preserve"> </w:t>
      </w:r>
      <w:r>
        <w:t>entraver les</w:t>
      </w:r>
      <w:r w:rsidRPr="00041E4E">
        <w:t xml:space="preserve"> investigations concernant d</w:t>
      </w:r>
      <w:r w:rsidR="00CA3210">
        <w:t>’</w:t>
      </w:r>
      <w:r w:rsidRPr="00041E4E">
        <w:t>autres personnes ;</w:t>
      </w:r>
    </w:p>
    <w:p w:rsidR="002922B9" w:rsidRPr="005E487F" w:rsidRDefault="002922B9" w:rsidP="00CD0DF3">
      <w:pPr>
        <w:pStyle w:val="ECHRParaQuote"/>
      </w:pPr>
      <w:r w:rsidRPr="00F0586E">
        <w:t>b) l</w:t>
      </w:r>
      <w:r w:rsidR="00CA3210">
        <w:t>’</w:t>
      </w:r>
      <w:r w:rsidRPr="00F0586E">
        <w:t>interdiction de publier le contenu de certains actes ou d</w:t>
      </w:r>
      <w:r w:rsidR="00CA3210">
        <w:t>’</w:t>
      </w:r>
      <w:r w:rsidRPr="00F0586E">
        <w:t>informations spécifiques concernant certaines opérations. »</w:t>
      </w:r>
    </w:p>
    <w:p w:rsidR="002922B9" w:rsidRPr="005E487F" w:rsidRDefault="002922B9" w:rsidP="00CD0DF3">
      <w:pPr>
        <w:pStyle w:val="ECHRTitle1"/>
      </w:pPr>
      <w:r w:rsidRPr="005E487F">
        <w:t>GRIEFS</w:t>
      </w:r>
    </w:p>
    <w:p w:rsidR="002922B9" w:rsidRDefault="002922B9" w:rsidP="00CD0DF3">
      <w:pPr>
        <w:pStyle w:val="JuParaChar"/>
      </w:pPr>
      <w:r>
        <w:t>21</w:t>
      </w:r>
      <w:r w:rsidRPr="005E487F">
        <w:t>.  Invoquant les articles</w:t>
      </w:r>
      <w:r>
        <w:t> </w:t>
      </w:r>
      <w:r w:rsidRPr="005E487F">
        <w:t>6 et 8 de la Convention, ainsi que l</w:t>
      </w:r>
      <w:r w:rsidR="00CA3210">
        <w:t>’</w:t>
      </w:r>
      <w:r w:rsidRPr="005E487F">
        <w:t>article</w:t>
      </w:r>
      <w:r>
        <w:t> </w:t>
      </w:r>
      <w:r w:rsidRPr="005E487F">
        <w:t>17 du Pacte international sur les droits civils et politiques, le requérant se plaint de la conférence de presse du 15 mars 2006 et de ses retentissements médiatiques.</w:t>
      </w:r>
    </w:p>
    <w:p w:rsidR="002922B9" w:rsidRDefault="002922B9" w:rsidP="00CD0DF3">
      <w:pPr>
        <w:pStyle w:val="ECHRTitle1"/>
      </w:pPr>
      <w:r w:rsidRPr="005D3E5F">
        <w:t>EN DROIT</w:t>
      </w:r>
    </w:p>
    <w:p w:rsidR="002922B9" w:rsidRPr="005D3E5F" w:rsidRDefault="002922B9" w:rsidP="00CD0DF3">
      <w:pPr>
        <w:pStyle w:val="ECHRHeading2"/>
      </w:pPr>
      <w:r>
        <w:t>A</w:t>
      </w:r>
      <w:r w:rsidRPr="005D3E5F">
        <w:t>.  Grief tiré de l</w:t>
      </w:r>
      <w:r w:rsidR="00CA3210">
        <w:t>’</w:t>
      </w:r>
      <w:r w:rsidRPr="005D3E5F">
        <w:t>article</w:t>
      </w:r>
      <w:r>
        <w:t> </w:t>
      </w:r>
      <w:r w:rsidRPr="005D3E5F">
        <w:t>6 § 2 de la Convention</w:t>
      </w:r>
    </w:p>
    <w:p w:rsidR="002922B9" w:rsidRPr="00D179B1" w:rsidRDefault="002922B9" w:rsidP="00CD0DF3">
      <w:pPr>
        <w:pStyle w:val="JuParaChar"/>
      </w:pPr>
      <w:r>
        <w:t>22.  </w:t>
      </w:r>
      <w:r w:rsidRPr="005D3E5F">
        <w:t>Le requérant considère que la conférence de presse du 15 mars 2006 et ses retentissements médiatiques ont violé l</w:t>
      </w:r>
      <w:r w:rsidR="00CA3210">
        <w:t>’</w:t>
      </w:r>
      <w:r w:rsidRPr="005D3E5F">
        <w:t>article</w:t>
      </w:r>
      <w:r>
        <w:t> </w:t>
      </w:r>
      <w:r w:rsidRPr="005D3E5F">
        <w:t>17 du Pacte interna</w:t>
      </w:r>
      <w:r w:rsidRPr="00D179B1">
        <w:t>tional sur les droits civils et politiques, ainsi que son droit à</w:t>
      </w:r>
      <w:r>
        <w:t xml:space="preserve"> </w:t>
      </w:r>
      <w:r w:rsidRPr="00D179B1">
        <w:t>la</w:t>
      </w:r>
      <w:r>
        <w:t> </w:t>
      </w:r>
      <w:r w:rsidRPr="00D179B1">
        <w:t>présomption d</w:t>
      </w:r>
      <w:r w:rsidR="00CA3210">
        <w:t>’</w:t>
      </w:r>
      <w:r w:rsidRPr="00D179B1">
        <w:t>innocence, tel que garanti par l</w:t>
      </w:r>
      <w:r w:rsidR="00CA3210">
        <w:t>’</w:t>
      </w:r>
      <w:r w:rsidRPr="00D179B1">
        <w:t>article</w:t>
      </w:r>
      <w:r>
        <w:t> </w:t>
      </w:r>
      <w:r w:rsidRPr="00D179B1">
        <w:t>6 §</w:t>
      </w:r>
      <w:r>
        <w:t> </w:t>
      </w:r>
      <w:r w:rsidRPr="00D179B1">
        <w:t>2 de la</w:t>
      </w:r>
      <w:r>
        <w:t> </w:t>
      </w:r>
      <w:r w:rsidRPr="00D179B1">
        <w:t>Convention.</w:t>
      </w:r>
    </w:p>
    <w:p w:rsidR="002922B9" w:rsidRPr="00D179B1" w:rsidRDefault="002922B9" w:rsidP="00CD0DF3">
      <w:pPr>
        <w:pStyle w:val="JuParaChar"/>
      </w:pPr>
      <w:r w:rsidRPr="00D179B1">
        <w:t>Cette disposition se lit comme suit :</w:t>
      </w:r>
    </w:p>
    <w:p w:rsidR="002922B9" w:rsidRPr="00D179B1" w:rsidRDefault="002922B9" w:rsidP="00CD0DF3">
      <w:pPr>
        <w:pStyle w:val="ECHRParaQuote"/>
      </w:pPr>
      <w:r w:rsidRPr="00D179B1">
        <w:t>« Toute personne accusée d</w:t>
      </w:r>
      <w:r w:rsidR="00CA3210">
        <w:t>’</w:t>
      </w:r>
      <w:r w:rsidRPr="00D179B1">
        <w:t>une infraction est présumée innocente jusqu</w:t>
      </w:r>
      <w:r w:rsidR="00CA3210">
        <w:t>’</w:t>
      </w:r>
      <w:r w:rsidRPr="00D179B1">
        <w:t>à ce que sa culpabilité ait été légalement établie. »</w:t>
      </w:r>
    </w:p>
    <w:p w:rsidR="002922B9" w:rsidRPr="00D179B1" w:rsidRDefault="002922B9" w:rsidP="00CD0DF3">
      <w:pPr>
        <w:pStyle w:val="ECHRHeading3"/>
      </w:pPr>
      <w:r w:rsidRPr="00D179B1">
        <w:t>1.  Arguments des parties</w:t>
      </w:r>
    </w:p>
    <w:p w:rsidR="002922B9" w:rsidRPr="00D179B1" w:rsidRDefault="002922B9" w:rsidP="00CD0DF3">
      <w:pPr>
        <w:pStyle w:val="ECHRHeading4"/>
      </w:pPr>
      <w:r w:rsidRPr="00D179B1">
        <w:t>a)  Le requérant</w:t>
      </w:r>
    </w:p>
    <w:p w:rsidR="002922B9" w:rsidRDefault="002922B9" w:rsidP="00CD0DF3">
      <w:pPr>
        <w:pStyle w:val="JuParaChar"/>
      </w:pPr>
      <w:r>
        <w:t>23</w:t>
      </w:r>
      <w:r w:rsidRPr="00D179B1">
        <w:t>.  Le requérant estime qu</w:t>
      </w:r>
      <w:r w:rsidR="00CA3210">
        <w:t>’</w:t>
      </w:r>
      <w:r w:rsidRPr="00D179B1">
        <w:t>il n</w:t>
      </w:r>
      <w:r w:rsidR="00CA3210">
        <w:t>’</w:t>
      </w:r>
      <w:r w:rsidRPr="00D179B1">
        <w:t>y avait aucune nécessité de tenir la conférence de presse incriminée, au cours de laquelle il aurait été présenté comme coupable de graves infractions pénales par rapport auxquelles aucune preuve solide n</w:t>
      </w:r>
      <w:r w:rsidR="00CA3210">
        <w:t>’</w:t>
      </w:r>
      <w:r w:rsidRPr="00D179B1">
        <w:t xml:space="preserve">avait été obtenue. Par ailleurs, toute accusation à son encontre a été classée sans suite </w:t>
      </w:r>
      <w:r>
        <w:t xml:space="preserve">au </w:t>
      </w:r>
      <w:r w:rsidRPr="005D3E5F">
        <w:t>vu</w:t>
      </w:r>
      <w:r>
        <w:t xml:space="preserve"> de</w:t>
      </w:r>
      <w:r w:rsidRPr="005D3E5F">
        <w:t xml:space="preserve"> l</w:t>
      </w:r>
      <w:r w:rsidR="00CA3210">
        <w:t>’</w:t>
      </w:r>
      <w:r w:rsidRPr="005D3E5F">
        <w:t xml:space="preserve">absence totale de fondement des thèses du parquet. Les </w:t>
      </w:r>
      <w:r w:rsidRPr="00D179B1">
        <w:t>investigations ont duré plus de six ans et, avant la note du SISDE, toutes les informations recueillies sur le requérant indiquaient qu</w:t>
      </w:r>
      <w:r w:rsidR="00CA3210">
        <w:t>’</w:t>
      </w:r>
      <w:r w:rsidRPr="00D179B1">
        <w:t>il n</w:t>
      </w:r>
      <w:r w:rsidR="00CA3210">
        <w:t>’</w:t>
      </w:r>
      <w:r w:rsidRPr="00D179B1">
        <w:t>avait pas été signalé comme consommateur de stupéfiants ou personne impliquée dans des milieux criminels. La conduite de vie irréprochable du requérant aurait pu être vérifiée en quelques jours et sans avoir recours à de longues enquêtes et à des écoutes téléphoniques. Les accusations très graves formulées à son encontre, et relatées par les médias, ont fortement nui à sa réputation dans un environnement où, auparavant, il jouissait d</w:t>
      </w:r>
      <w:r w:rsidR="00CA3210">
        <w:t>’</w:t>
      </w:r>
      <w:r w:rsidRPr="00D179B1">
        <w:t>une estime considérable.</w:t>
      </w:r>
    </w:p>
    <w:p w:rsidR="002922B9" w:rsidRPr="005D3E5F" w:rsidRDefault="002922B9" w:rsidP="00CD0DF3">
      <w:pPr>
        <w:pStyle w:val="JuParaChar"/>
      </w:pPr>
      <w:r>
        <w:t>24</w:t>
      </w:r>
      <w:r w:rsidRPr="00D179B1">
        <w:t xml:space="preserve">.  Le requérant considère que les articles de presse le concernant, accompagnés de sa photo et des photos prises lors de la conférence de presse, le décrivaient comme un sataniste qui </w:t>
      </w:r>
      <w:r>
        <w:t>incitait</w:t>
      </w:r>
      <w:r w:rsidRPr="005D3E5F">
        <w:t xml:space="preserve"> les </w:t>
      </w:r>
      <w:r>
        <w:t>élève</w:t>
      </w:r>
      <w:r w:rsidRPr="005E487F">
        <w:t xml:space="preserve">s à la prostitution, au suicide et à la consommation de stupéfiants. </w:t>
      </w:r>
      <w:r>
        <w:t>L</w:t>
      </w:r>
      <w:r w:rsidRPr="005E487F">
        <w:t>es journalistes auraient violé leurs devoirs d</w:t>
      </w:r>
      <w:r w:rsidR="00CA3210">
        <w:t>’</w:t>
      </w:r>
      <w:r w:rsidRPr="005E487F">
        <w:t xml:space="preserve">objectivité et de </w:t>
      </w:r>
      <w:r>
        <w:t>retenue</w:t>
      </w:r>
      <w:r w:rsidRPr="005E487F">
        <w:t>, se lançant dans une attaque personnelle injustifiée et vulgaire. Quant aux bruits qui, selon le Gouvernement, circulaient au sujet d</w:t>
      </w:r>
      <w:r w:rsidR="00CA3210">
        <w:t>’</w:t>
      </w:r>
      <w:r w:rsidRPr="005E487F">
        <w:t>un cercle de satanistes, et qui auraient impliqué la nécessité, pour les autorités, de rassurer la population locale, le requérant affirme qu</w:t>
      </w:r>
      <w:r w:rsidR="00CA3210">
        <w:t>’</w:t>
      </w:r>
      <w:r w:rsidRPr="005E487F">
        <w:t>ils étaient inexistants et que la population a eu connaissance des accusations en question seulement lors de la conférence de presse. Cette dernière serait l</w:t>
      </w:r>
      <w:r w:rsidR="00CA3210">
        <w:t>’</w:t>
      </w:r>
      <w:r w:rsidRPr="005E487F">
        <w:t>événement ayant créé l</w:t>
      </w:r>
      <w:r w:rsidR="00CA3210">
        <w:t>’</w:t>
      </w:r>
      <w:r w:rsidRPr="005E487F">
        <w:t xml:space="preserve">alarme sociale. </w:t>
      </w:r>
      <w:r w:rsidRPr="005D3E5F">
        <w:t>L</w:t>
      </w:r>
      <w:r w:rsidR="00CA3210">
        <w:t>’</w:t>
      </w:r>
      <w:r w:rsidRPr="005D3E5F">
        <w:t xml:space="preserve">affaire </w:t>
      </w:r>
      <w:r w:rsidRPr="005D3E5F">
        <w:rPr>
          <w:i/>
        </w:rPr>
        <w:t>Karakaş et Yeşilirmark</w:t>
      </w:r>
      <w:r w:rsidRPr="005D3E5F">
        <w:t>, citée par le Gouvernement (paragraphe</w:t>
      </w:r>
      <w:r>
        <w:t> </w:t>
      </w:r>
      <w:r w:rsidRPr="005D3E5F">
        <w:t>2</w:t>
      </w:r>
      <w:r>
        <w:t>5</w:t>
      </w:r>
      <w:r w:rsidRPr="005D3E5F">
        <w:t xml:space="preserve"> ci-après), ne serait pas pertinente, le requérant n</w:t>
      </w:r>
      <w:r w:rsidR="00CA3210">
        <w:t>’</w:t>
      </w:r>
      <w:r w:rsidRPr="005D3E5F">
        <w:t>ayant jamais été arrêté et renvoyé en jugement. Enfin, la note du SISDE ne serait pas à l</w:t>
      </w:r>
      <w:r w:rsidR="00CA3210">
        <w:t>’</w:t>
      </w:r>
      <w:r w:rsidRPr="005D3E5F">
        <w:t>origine des poursuites</w:t>
      </w:r>
      <w:r>
        <w:t xml:space="preserve"> ; au demeurant, cette note </w:t>
      </w:r>
      <w:r w:rsidRPr="005D3E5F">
        <w:t>serait incomplète et n</w:t>
      </w:r>
      <w:r w:rsidR="00CA3210">
        <w:t>’</w:t>
      </w:r>
      <w:r w:rsidRPr="005D3E5F">
        <w:t>aurait pas de signature ou de numéro d</w:t>
      </w:r>
      <w:r w:rsidR="00CA3210">
        <w:t>’</w:t>
      </w:r>
      <w:r w:rsidRPr="005D3E5F">
        <w:t>enregistrement pouvant en certifier l</w:t>
      </w:r>
      <w:r w:rsidR="00CA3210">
        <w:t>’</w:t>
      </w:r>
      <w:r w:rsidRPr="005D3E5F">
        <w:t>authenticité.</w:t>
      </w:r>
    </w:p>
    <w:p w:rsidR="002922B9" w:rsidRPr="005D3E5F" w:rsidRDefault="002922B9" w:rsidP="00CD0DF3">
      <w:pPr>
        <w:pStyle w:val="ECHRHeading4"/>
      </w:pPr>
      <w:r w:rsidRPr="005D3E5F">
        <w:t>b)  Le Gouvernement</w:t>
      </w:r>
    </w:p>
    <w:p w:rsidR="002922B9" w:rsidRPr="005D3E5F" w:rsidRDefault="002922B9" w:rsidP="00CD0DF3">
      <w:pPr>
        <w:pStyle w:val="JuParaChar"/>
      </w:pPr>
      <w:r>
        <w:t>25</w:t>
      </w:r>
      <w:r w:rsidRPr="005D3E5F">
        <w:t>.  Le Gouvernement observe que même si l</w:t>
      </w:r>
      <w:r w:rsidR="00CA3210">
        <w:t>’</w:t>
      </w:r>
      <w:r w:rsidRPr="005D3E5F">
        <w:t>enregistrement ou la transcription de la conférence de presse du 16 mars 20</w:t>
      </w:r>
      <w:r w:rsidRPr="00D179B1">
        <w:t>06 n</w:t>
      </w:r>
      <w:r w:rsidR="00CA3210">
        <w:t>’</w:t>
      </w:r>
      <w:r w:rsidRPr="00D179B1">
        <w:t>ont pas pu être trouvés (paragraphe</w:t>
      </w:r>
      <w:r>
        <w:t> </w:t>
      </w:r>
      <w:r w:rsidRPr="00D179B1">
        <w:t>8 ci-dessus), il ressort des articles de presse publiés dans les journaux – dans lesquels le conditionnel était largement utilisé – que le requérant a été simplement présenté comme faisant l</w:t>
      </w:r>
      <w:r w:rsidR="00CA3210">
        <w:t>’</w:t>
      </w:r>
      <w:r w:rsidRPr="00D179B1">
        <w:t>objet d</w:t>
      </w:r>
      <w:r w:rsidR="00CA3210">
        <w:t>’</w:t>
      </w:r>
      <w:r w:rsidRPr="00D179B1">
        <w:t>investigations, en soulignant que les éléments en cours d</w:t>
      </w:r>
      <w:r w:rsidR="00CA3210">
        <w:t>’</w:t>
      </w:r>
      <w:r w:rsidRPr="00D179B1">
        <w:t xml:space="preserve">acquisition devaient être encore coordonnés et évalués. La conférence incriminée a donc été </w:t>
      </w:r>
      <w:r>
        <w:t>marquée</w:t>
      </w:r>
      <w:r w:rsidRPr="005D3E5F">
        <w:t xml:space="preserve"> par la prudence et la discrétion afin de garantir la présomption d</w:t>
      </w:r>
      <w:r w:rsidR="00CA3210">
        <w:t>’</w:t>
      </w:r>
      <w:r w:rsidRPr="005D3E5F">
        <w:t xml:space="preserve">innocence, comme exigé par la jurisprudence de la Cour (voir, notamment, </w:t>
      </w:r>
      <w:r w:rsidRPr="00D179B1">
        <w:rPr>
          <w:i/>
        </w:rPr>
        <w:t>Karakaş et Yeşilirmark c. Turquie</w:t>
      </w:r>
      <w:r w:rsidRPr="00D179B1">
        <w:t>, n</w:t>
      </w:r>
      <w:r w:rsidRPr="002922B9">
        <w:rPr>
          <w:vertAlign w:val="superscript"/>
        </w:rPr>
        <w:t>o</w:t>
      </w:r>
      <w:r>
        <w:t> </w:t>
      </w:r>
      <w:r w:rsidRPr="00D179B1">
        <w:t>43925/98, 28</w:t>
      </w:r>
      <w:r>
        <w:t> </w:t>
      </w:r>
      <w:r w:rsidRPr="00D179B1">
        <w:t xml:space="preserve">juin 2005 ; </w:t>
      </w:r>
      <w:r w:rsidRPr="00D179B1">
        <w:rPr>
          <w:i/>
        </w:rPr>
        <w:t>Bohmer c. Allemagne</w:t>
      </w:r>
      <w:r w:rsidRPr="00D179B1">
        <w:t>, n</w:t>
      </w:r>
      <w:r w:rsidRPr="002922B9">
        <w:rPr>
          <w:vertAlign w:val="superscript"/>
        </w:rPr>
        <w:t>o</w:t>
      </w:r>
      <w:r>
        <w:t> </w:t>
      </w:r>
      <w:r w:rsidRPr="00D179B1">
        <w:t xml:space="preserve">37568/97, 3 octobre 2002 ; </w:t>
      </w:r>
      <w:r w:rsidRPr="00D179B1">
        <w:rPr>
          <w:i/>
        </w:rPr>
        <w:t>Nestak c. Slovaquie</w:t>
      </w:r>
      <w:r w:rsidRPr="00D179B1">
        <w:t>, n</w:t>
      </w:r>
      <w:r w:rsidRPr="002922B9">
        <w:rPr>
          <w:vertAlign w:val="superscript"/>
        </w:rPr>
        <w:t>o</w:t>
      </w:r>
      <w:r w:rsidRPr="00D179B1">
        <w:t xml:space="preserve"> 65559/01, 27 février 2007 ; et </w:t>
      </w:r>
      <w:r w:rsidRPr="00D179B1">
        <w:rPr>
          <w:i/>
        </w:rPr>
        <w:t>Dovzhenko c. Ukraine</w:t>
      </w:r>
      <w:r w:rsidRPr="00D179B1">
        <w:t>, n</w:t>
      </w:r>
      <w:r w:rsidRPr="002922B9">
        <w:rPr>
          <w:vertAlign w:val="superscript"/>
        </w:rPr>
        <w:t>o</w:t>
      </w:r>
      <w:r w:rsidRPr="00D179B1">
        <w:t xml:space="preserve"> 36650/03, 12 janvier 2012). Les faits sur lesquels les autorités </w:t>
      </w:r>
      <w:r>
        <w:t>enquêtaient</w:t>
      </w:r>
      <w:r w:rsidRPr="005D3E5F">
        <w:t xml:space="preserve"> alarmaient et inquiétaient la population et la conférence de presse devait l</w:t>
      </w:r>
      <w:r w:rsidR="00CA3210">
        <w:t>’</w:t>
      </w:r>
      <w:r w:rsidRPr="005D3E5F">
        <w:t xml:space="preserve">informer et la rassurer en indiquant </w:t>
      </w:r>
      <w:r>
        <w:t>que des investigations étaient</w:t>
      </w:r>
      <w:r w:rsidRPr="005D3E5F">
        <w:t xml:space="preserve"> en cours.</w:t>
      </w:r>
    </w:p>
    <w:p w:rsidR="002922B9" w:rsidRPr="00D179B1" w:rsidRDefault="002922B9" w:rsidP="00CD0DF3">
      <w:pPr>
        <w:pStyle w:val="ECHRHeading3"/>
      </w:pPr>
      <w:r w:rsidRPr="00D179B1">
        <w:t>2.  Appréciation de la Cour</w:t>
      </w:r>
    </w:p>
    <w:p w:rsidR="002922B9" w:rsidRPr="00D179B1" w:rsidRDefault="002922B9" w:rsidP="00CD0DF3">
      <w:pPr>
        <w:pStyle w:val="ECHRHeading4"/>
      </w:pPr>
      <w:r w:rsidRPr="00D179B1">
        <w:t>a)  Principes généraux</w:t>
      </w:r>
    </w:p>
    <w:p w:rsidR="002922B9" w:rsidRPr="00D179B1" w:rsidRDefault="002922B9" w:rsidP="00CD0DF3">
      <w:pPr>
        <w:pStyle w:val="ECHRPara"/>
      </w:pPr>
      <w:r>
        <w:t>26</w:t>
      </w:r>
      <w:r w:rsidRPr="00D179B1">
        <w:t>.  La Cour rappelle les principes énoncés dans sa jurisprudence, ainsi résumés dans l</w:t>
      </w:r>
      <w:r w:rsidR="00CA3210">
        <w:t>’</w:t>
      </w:r>
      <w:r w:rsidRPr="00D179B1">
        <w:t xml:space="preserve">affaire </w:t>
      </w:r>
      <w:r w:rsidRPr="00D179B1">
        <w:rPr>
          <w:i/>
        </w:rPr>
        <w:t>Lizaso Azconobieta c. Espagne</w:t>
      </w:r>
      <w:r w:rsidRPr="00D179B1">
        <w:t xml:space="preserve"> (n</w:t>
      </w:r>
      <w:r w:rsidRPr="002922B9">
        <w:rPr>
          <w:vertAlign w:val="superscript"/>
        </w:rPr>
        <w:t>o</w:t>
      </w:r>
      <w:r w:rsidRPr="00D179B1">
        <w:t> 28834/08, §§</w:t>
      </w:r>
      <w:r>
        <w:t> </w:t>
      </w:r>
      <w:r w:rsidRPr="00D179B1">
        <w:t>37</w:t>
      </w:r>
      <w:r>
        <w:noBreakHyphen/>
      </w:r>
      <w:r w:rsidRPr="00D179B1">
        <w:t>39, 28 juin 2011) :</w:t>
      </w:r>
    </w:p>
    <w:p w:rsidR="002922B9" w:rsidRPr="00D179B1" w:rsidRDefault="002922B9" w:rsidP="00CD0DF3">
      <w:pPr>
        <w:pStyle w:val="ECHRParaQuote"/>
      </w:pPr>
      <w:r w:rsidRPr="00D179B1">
        <w:rPr>
          <w:rStyle w:val="sb8d990e2"/>
        </w:rPr>
        <w:t>« 37. La Cour rappelle que, si le principe de la présomption d</w:t>
      </w:r>
      <w:r w:rsidR="00CA3210">
        <w:rPr>
          <w:rStyle w:val="sb8d990e2"/>
        </w:rPr>
        <w:t>’</w:t>
      </w:r>
      <w:r w:rsidRPr="00D179B1">
        <w:rPr>
          <w:rStyle w:val="sb8d990e2"/>
        </w:rPr>
        <w:t>innocence consacré par le paragraphe</w:t>
      </w:r>
      <w:r>
        <w:rPr>
          <w:rStyle w:val="sb8d990e2"/>
        </w:rPr>
        <w:t> </w:t>
      </w:r>
      <w:r w:rsidRPr="00D179B1">
        <w:rPr>
          <w:rStyle w:val="sb8d990e2"/>
        </w:rPr>
        <w:t>2 de l</w:t>
      </w:r>
      <w:r w:rsidR="00CA3210">
        <w:rPr>
          <w:rStyle w:val="sb8d990e2"/>
        </w:rPr>
        <w:t>’</w:t>
      </w:r>
      <w:r w:rsidRPr="00D179B1">
        <w:rPr>
          <w:rStyle w:val="sb8d990e2"/>
        </w:rPr>
        <w:t>article</w:t>
      </w:r>
      <w:r>
        <w:rPr>
          <w:rStyle w:val="sb8d990e2"/>
        </w:rPr>
        <w:t> </w:t>
      </w:r>
      <w:r w:rsidRPr="00D179B1">
        <w:rPr>
          <w:rStyle w:val="sb8d990e2"/>
        </w:rPr>
        <w:t>6 figure parmi les éléments du procès pénal équitable exigé par le paragraphe</w:t>
      </w:r>
      <w:r>
        <w:rPr>
          <w:rStyle w:val="sb8d990e2"/>
        </w:rPr>
        <w:t> </w:t>
      </w:r>
      <w:r w:rsidRPr="00D179B1">
        <w:rPr>
          <w:rStyle w:val="sb8d990e2"/>
        </w:rPr>
        <w:t>1 de la même disposition (</w:t>
      </w:r>
      <w:r w:rsidRPr="00D179B1">
        <w:rPr>
          <w:rStyle w:val="s6b621b36"/>
          <w:i/>
        </w:rPr>
        <w:t>Kamasinski c. Autriche</w:t>
      </w:r>
      <w:r w:rsidRPr="00D179B1">
        <w:rPr>
          <w:rStyle w:val="sb8d990e2"/>
        </w:rPr>
        <w:t>, 19 décembre 1989, § 62, série A n</w:t>
      </w:r>
      <w:r w:rsidRPr="002922B9">
        <w:rPr>
          <w:rStyle w:val="sb8d990e2"/>
          <w:vertAlign w:val="superscript"/>
        </w:rPr>
        <w:t>o</w:t>
      </w:r>
      <w:r>
        <w:rPr>
          <w:rStyle w:val="sb8d990e2"/>
        </w:rPr>
        <w:t> </w:t>
      </w:r>
      <w:r w:rsidRPr="00D179B1">
        <w:rPr>
          <w:rStyle w:val="sb8d990e2"/>
        </w:rPr>
        <w:t>168) il ne se limite pas à une simple garantie procédurale en matière pénale. Sa portée est plus étendue et exige qu</w:t>
      </w:r>
      <w:r w:rsidR="00CA3210">
        <w:rPr>
          <w:rStyle w:val="sb8d990e2"/>
        </w:rPr>
        <w:t>’</w:t>
      </w:r>
      <w:r w:rsidRPr="00D179B1">
        <w:rPr>
          <w:rStyle w:val="sb8d990e2"/>
        </w:rPr>
        <w:t>aucun représentant de l</w:t>
      </w:r>
      <w:r w:rsidR="00CA3210">
        <w:rPr>
          <w:rStyle w:val="sb8d990e2"/>
        </w:rPr>
        <w:t>’</w:t>
      </w:r>
      <w:r>
        <w:rPr>
          <w:rStyle w:val="sb8d990e2"/>
        </w:rPr>
        <w:t>É</w:t>
      </w:r>
      <w:r w:rsidRPr="00D179B1">
        <w:rPr>
          <w:rStyle w:val="sb8d990e2"/>
        </w:rPr>
        <w:t>tat ou d</w:t>
      </w:r>
      <w:r w:rsidR="00CA3210">
        <w:rPr>
          <w:rStyle w:val="sb8d990e2"/>
        </w:rPr>
        <w:t>’</w:t>
      </w:r>
      <w:r w:rsidRPr="00D179B1">
        <w:rPr>
          <w:rStyle w:val="sb8d990e2"/>
        </w:rPr>
        <w:t>une autorité publique ne déclare qu</w:t>
      </w:r>
      <w:r w:rsidR="00CA3210">
        <w:rPr>
          <w:rStyle w:val="sb8d990e2"/>
        </w:rPr>
        <w:t>’</w:t>
      </w:r>
      <w:r w:rsidRPr="00D179B1">
        <w:rPr>
          <w:rStyle w:val="sb8d990e2"/>
        </w:rPr>
        <w:t>une personne est coupable d</w:t>
      </w:r>
      <w:r w:rsidR="00CA3210">
        <w:rPr>
          <w:rStyle w:val="sb8d990e2"/>
        </w:rPr>
        <w:t>’</w:t>
      </w:r>
      <w:r w:rsidRPr="00D179B1">
        <w:rPr>
          <w:rStyle w:val="sb8d990e2"/>
        </w:rPr>
        <w:t>une infraction avant que sa culpabilité n</w:t>
      </w:r>
      <w:r w:rsidR="00CA3210">
        <w:rPr>
          <w:rStyle w:val="sb8d990e2"/>
        </w:rPr>
        <w:t>’</w:t>
      </w:r>
      <w:r w:rsidRPr="00D179B1">
        <w:rPr>
          <w:rStyle w:val="sb8d990e2"/>
        </w:rPr>
        <w:t>ait été établie par un tribunal (</w:t>
      </w:r>
      <w:r w:rsidRPr="00D179B1">
        <w:rPr>
          <w:rStyle w:val="s6b621b36"/>
          <w:i/>
        </w:rPr>
        <w:t>Allenet de Ribemont c. France</w:t>
      </w:r>
      <w:r w:rsidRPr="00D179B1">
        <w:rPr>
          <w:rStyle w:val="sb8d990e2"/>
        </w:rPr>
        <w:t>, 10 février 1995, §§ 35-36, série A n</w:t>
      </w:r>
      <w:r w:rsidRPr="002922B9">
        <w:rPr>
          <w:rStyle w:val="sea881cdfhasverticalalignsuper"/>
          <w:vertAlign w:val="superscript"/>
        </w:rPr>
        <w:t>o</w:t>
      </w:r>
      <w:r>
        <w:rPr>
          <w:rStyle w:val="sb8d990e2"/>
        </w:rPr>
        <w:t> </w:t>
      </w:r>
      <w:r w:rsidRPr="00D179B1">
        <w:rPr>
          <w:rStyle w:val="sb8d990e2"/>
        </w:rPr>
        <w:t>308</w:t>
      </w:r>
      <w:r>
        <w:rPr>
          <w:rStyle w:val="sb8d990e2"/>
        </w:rPr>
        <w:t> </w:t>
      </w:r>
      <w:r w:rsidRPr="00D179B1">
        <w:rPr>
          <w:rStyle w:val="sb8d990e2"/>
        </w:rPr>
        <w:t xml:space="preserve">; </w:t>
      </w:r>
      <w:r w:rsidRPr="00D179B1">
        <w:rPr>
          <w:rStyle w:val="s6b621b36"/>
          <w:i/>
        </w:rPr>
        <w:t>Viorel Burzo c. Roumanie</w:t>
      </w:r>
      <w:r w:rsidRPr="00D179B1">
        <w:rPr>
          <w:rStyle w:val="sb8d990e2"/>
        </w:rPr>
        <w:t>, n</w:t>
      </w:r>
      <w:r w:rsidRPr="00D179B1">
        <w:rPr>
          <w:rStyle w:val="sea881cdfhasverticalalignsuper"/>
          <w:vertAlign w:val="superscript"/>
        </w:rPr>
        <w:t>os</w:t>
      </w:r>
      <w:r w:rsidRPr="00D179B1">
        <w:rPr>
          <w:rStyle w:val="sb8d990e2"/>
        </w:rPr>
        <w:t xml:space="preserve"> 75109/01 et 12639/02, § 156, 30 juin 2009</w:t>
      </w:r>
      <w:r>
        <w:rPr>
          <w:rStyle w:val="sb8d990e2"/>
        </w:rPr>
        <w:t> </w:t>
      </w:r>
      <w:r w:rsidRPr="00D179B1">
        <w:rPr>
          <w:rStyle w:val="sb8d990e2"/>
        </w:rPr>
        <w:t>;</w:t>
      </w:r>
      <w:r w:rsidRPr="00D179B1">
        <w:rPr>
          <w:rStyle w:val="s6b621b36"/>
        </w:rPr>
        <w:t xml:space="preserve"> </w:t>
      </w:r>
      <w:r w:rsidRPr="00D179B1">
        <w:rPr>
          <w:rStyle w:val="s6b621b36"/>
          <w:i/>
        </w:rPr>
        <w:t>Moullet c. France</w:t>
      </w:r>
      <w:r w:rsidRPr="00D179B1">
        <w:rPr>
          <w:rStyle w:val="s6b621b36"/>
        </w:rPr>
        <w:t xml:space="preserve"> </w:t>
      </w:r>
      <w:r w:rsidRPr="00D179B1">
        <w:rPr>
          <w:rStyle w:val="sb8d990e2"/>
        </w:rPr>
        <w:t>(déc.), n</w:t>
      </w:r>
      <w:r w:rsidRPr="002922B9">
        <w:rPr>
          <w:rStyle w:val="sea881cdfhasverticalalignsuper"/>
          <w:vertAlign w:val="superscript"/>
        </w:rPr>
        <w:t>o</w:t>
      </w:r>
      <w:r>
        <w:rPr>
          <w:rStyle w:val="sb8d990e2"/>
        </w:rPr>
        <w:t> </w:t>
      </w:r>
      <w:r w:rsidRPr="00D179B1">
        <w:rPr>
          <w:rStyle w:val="sb8d990e2"/>
        </w:rPr>
        <w:t>27521/04, 13 septembre 2007).</w:t>
      </w:r>
    </w:p>
    <w:p w:rsidR="002922B9" w:rsidRPr="00D179B1" w:rsidRDefault="002922B9" w:rsidP="00CD0DF3">
      <w:pPr>
        <w:pStyle w:val="ECHRParaQuote"/>
      </w:pPr>
      <w:r w:rsidRPr="00D179B1">
        <w:rPr>
          <w:rStyle w:val="sb8d990e2"/>
        </w:rPr>
        <w:t>38. En outre, la Cour précise qu</w:t>
      </w:r>
      <w:r w:rsidR="00CA3210">
        <w:rPr>
          <w:rStyle w:val="sb8d990e2"/>
        </w:rPr>
        <w:t>’</w:t>
      </w:r>
      <w:r w:rsidRPr="00D179B1">
        <w:rPr>
          <w:rStyle w:val="sb8d990e2"/>
        </w:rPr>
        <w:t>une atteinte à la présomption d</w:t>
      </w:r>
      <w:r w:rsidR="00CA3210">
        <w:rPr>
          <w:rStyle w:val="sb8d990e2"/>
        </w:rPr>
        <w:t>’</w:t>
      </w:r>
      <w:r w:rsidRPr="00D179B1">
        <w:rPr>
          <w:rStyle w:val="sb8d990e2"/>
        </w:rPr>
        <w:t>innocence peut émaner non seulement d</w:t>
      </w:r>
      <w:r w:rsidR="00CA3210">
        <w:rPr>
          <w:rStyle w:val="sb8d990e2"/>
        </w:rPr>
        <w:t>’</w:t>
      </w:r>
      <w:r w:rsidRPr="00D179B1">
        <w:rPr>
          <w:rStyle w:val="sb8d990e2"/>
        </w:rPr>
        <w:t>un juge ou d</w:t>
      </w:r>
      <w:r w:rsidR="00CA3210">
        <w:rPr>
          <w:rStyle w:val="sb8d990e2"/>
        </w:rPr>
        <w:t>’</w:t>
      </w:r>
      <w:r w:rsidRPr="00D179B1">
        <w:rPr>
          <w:rStyle w:val="sb8d990e2"/>
        </w:rPr>
        <w:t>un tribunal, mais aussi d</w:t>
      </w:r>
      <w:r w:rsidR="00CA3210">
        <w:rPr>
          <w:rStyle w:val="sb8d990e2"/>
        </w:rPr>
        <w:t>’</w:t>
      </w:r>
      <w:r w:rsidRPr="00D179B1">
        <w:rPr>
          <w:rStyle w:val="sb8d990e2"/>
        </w:rPr>
        <w:t>autres agents de l</w:t>
      </w:r>
      <w:r w:rsidR="00CA3210">
        <w:rPr>
          <w:rStyle w:val="sb8d990e2"/>
        </w:rPr>
        <w:t>’</w:t>
      </w:r>
      <w:r>
        <w:rPr>
          <w:rStyle w:val="sb8d990e2"/>
        </w:rPr>
        <w:t>É</w:t>
      </w:r>
      <w:r w:rsidRPr="00D179B1">
        <w:rPr>
          <w:rStyle w:val="sb8d990e2"/>
        </w:rPr>
        <w:t>tat (</w:t>
      </w:r>
      <w:r w:rsidRPr="00D179B1">
        <w:rPr>
          <w:rStyle w:val="s6b621b36"/>
          <w:i/>
        </w:rPr>
        <w:t>Allenet de Ribemont c. France</w:t>
      </w:r>
      <w:r w:rsidRPr="00D179B1">
        <w:rPr>
          <w:rStyle w:val="sb8d990e2"/>
        </w:rPr>
        <w:t>, arrêt du 10 février 1995, § 36, série A n</w:t>
      </w:r>
      <w:r w:rsidRPr="002922B9">
        <w:rPr>
          <w:rStyle w:val="sea881cdfhasverticalalignsuper"/>
          <w:vertAlign w:val="superscript"/>
        </w:rPr>
        <w:t>o</w:t>
      </w:r>
      <w:r>
        <w:rPr>
          <w:rStyle w:val="sb8d990e2"/>
        </w:rPr>
        <w:t> </w:t>
      </w:r>
      <w:r w:rsidRPr="00D179B1">
        <w:rPr>
          <w:rStyle w:val="sb8d990e2"/>
        </w:rPr>
        <w:t xml:space="preserve">308 ; </w:t>
      </w:r>
      <w:r w:rsidRPr="00D179B1">
        <w:rPr>
          <w:rStyle w:val="s6b621b36"/>
          <w:i/>
        </w:rPr>
        <w:t>Daktaras c. Lituanie</w:t>
      </w:r>
      <w:r w:rsidRPr="00D179B1">
        <w:rPr>
          <w:rStyle w:val="sb8d990e2"/>
        </w:rPr>
        <w:t>, n</w:t>
      </w:r>
      <w:r w:rsidRPr="002922B9">
        <w:rPr>
          <w:rStyle w:val="sb8d990e2"/>
          <w:vertAlign w:val="superscript"/>
        </w:rPr>
        <w:t>o</w:t>
      </w:r>
      <w:r>
        <w:rPr>
          <w:rStyle w:val="sb8d990e2"/>
        </w:rPr>
        <w:t> </w:t>
      </w:r>
      <w:r w:rsidRPr="00D179B1">
        <w:rPr>
          <w:rStyle w:val="sb8d990e2"/>
        </w:rPr>
        <w:t xml:space="preserve">42095/98, §§ 41-42, CEDH 2000-X) et des personnalités publiques (« </w:t>
      </w:r>
      <w:r w:rsidRPr="00D179B1">
        <w:rPr>
          <w:rStyle w:val="s6b621b36"/>
          <w:i/>
        </w:rPr>
        <w:t>public officials</w:t>
      </w:r>
      <w:r w:rsidRPr="00D179B1">
        <w:rPr>
          <w:rStyle w:val="sb8d990e2"/>
        </w:rPr>
        <w:t xml:space="preserve"> »</w:t>
      </w:r>
      <w:r>
        <w:rPr>
          <w:rStyle w:val="sb8d990e2"/>
        </w:rPr>
        <w:t> </w:t>
      </w:r>
      <w:r w:rsidRPr="00D179B1">
        <w:rPr>
          <w:rStyle w:val="sb8d990e2"/>
        </w:rPr>
        <w:t xml:space="preserve">; </w:t>
      </w:r>
      <w:r w:rsidRPr="00D179B1">
        <w:rPr>
          <w:rStyle w:val="s6b621b36"/>
          <w:i/>
        </w:rPr>
        <w:t>Butkevičius c. Lituanie</w:t>
      </w:r>
      <w:r w:rsidRPr="00D179B1">
        <w:rPr>
          <w:rStyle w:val="sb8d990e2"/>
        </w:rPr>
        <w:t>, n</w:t>
      </w:r>
      <w:r w:rsidRPr="002922B9">
        <w:rPr>
          <w:rStyle w:val="sb8d990e2"/>
          <w:vertAlign w:val="superscript"/>
        </w:rPr>
        <w:t>o</w:t>
      </w:r>
      <w:r>
        <w:rPr>
          <w:rStyle w:val="sb8d990e2"/>
        </w:rPr>
        <w:t> </w:t>
      </w:r>
      <w:r w:rsidRPr="00D179B1">
        <w:rPr>
          <w:rStyle w:val="sb8d990e2"/>
        </w:rPr>
        <w:t>48297/99, §</w:t>
      </w:r>
      <w:r>
        <w:rPr>
          <w:rStyle w:val="sb8d990e2"/>
        </w:rPr>
        <w:t> </w:t>
      </w:r>
      <w:r w:rsidRPr="00D179B1">
        <w:rPr>
          <w:rStyle w:val="sb8d990e2"/>
        </w:rPr>
        <w:t>53, CEDH</w:t>
      </w:r>
      <w:r>
        <w:rPr>
          <w:rStyle w:val="sb8d990e2"/>
        </w:rPr>
        <w:t> </w:t>
      </w:r>
      <w:r w:rsidRPr="00D179B1">
        <w:rPr>
          <w:rStyle w:val="sb8d990e2"/>
        </w:rPr>
        <w:t>2002</w:t>
      </w:r>
      <w:r w:rsidRPr="00D179B1">
        <w:rPr>
          <w:rStyle w:val="sb8d990e2"/>
        </w:rPr>
        <w:noBreakHyphen/>
        <w:t>II (extraits)).</w:t>
      </w:r>
    </w:p>
    <w:p w:rsidR="002922B9" w:rsidRPr="00D179B1" w:rsidRDefault="002922B9" w:rsidP="00CD0DF3">
      <w:pPr>
        <w:pStyle w:val="ECHRParaQuote"/>
        <w:rPr>
          <w:rStyle w:val="sb8d990e2"/>
        </w:rPr>
      </w:pPr>
      <w:r w:rsidRPr="00D179B1">
        <w:rPr>
          <w:rStyle w:val="sb8d990e2"/>
        </w:rPr>
        <w:t>39. Il est vrai que l</w:t>
      </w:r>
      <w:r w:rsidR="00CA3210">
        <w:rPr>
          <w:rStyle w:val="sb8d990e2"/>
        </w:rPr>
        <w:t>’</w:t>
      </w:r>
      <w:r w:rsidRPr="00D179B1">
        <w:rPr>
          <w:rStyle w:val="sb8d990e2"/>
        </w:rPr>
        <w:t>article</w:t>
      </w:r>
      <w:r>
        <w:rPr>
          <w:rStyle w:val="sb8d990e2"/>
        </w:rPr>
        <w:t> </w:t>
      </w:r>
      <w:r w:rsidRPr="00D179B1">
        <w:rPr>
          <w:rStyle w:val="sb8d990e2"/>
        </w:rPr>
        <w:t>6 § 2 ne saurait empêcher, au regard de l</w:t>
      </w:r>
      <w:r w:rsidR="00CA3210">
        <w:rPr>
          <w:rStyle w:val="sb8d990e2"/>
        </w:rPr>
        <w:t>’</w:t>
      </w:r>
      <w:r w:rsidRPr="00D179B1">
        <w:rPr>
          <w:rStyle w:val="sb8d990e2"/>
        </w:rPr>
        <w:t>article</w:t>
      </w:r>
      <w:r>
        <w:rPr>
          <w:rStyle w:val="sb8d990e2"/>
        </w:rPr>
        <w:t> </w:t>
      </w:r>
      <w:r w:rsidRPr="00D179B1">
        <w:rPr>
          <w:rStyle w:val="sb8d990e2"/>
        </w:rPr>
        <w:t>10 de la Convention, les autorités publiques de renseigner le public sur des enquêtes pénales en cours, mais il requiert qu</w:t>
      </w:r>
      <w:r w:rsidR="00CA3210">
        <w:rPr>
          <w:rStyle w:val="sb8d990e2"/>
        </w:rPr>
        <w:t>’</w:t>
      </w:r>
      <w:r w:rsidRPr="00D179B1">
        <w:rPr>
          <w:rStyle w:val="sb8d990e2"/>
        </w:rPr>
        <w:t>elles le fassent avec toute la discrétion et toute la réserve que commande le principe de la présomption d</w:t>
      </w:r>
      <w:r w:rsidR="00CA3210">
        <w:rPr>
          <w:rStyle w:val="sb8d990e2"/>
        </w:rPr>
        <w:t>’</w:t>
      </w:r>
      <w:r w:rsidRPr="00D179B1">
        <w:rPr>
          <w:rStyle w:val="sb8d990e2"/>
        </w:rPr>
        <w:t>innocence (</w:t>
      </w:r>
      <w:r w:rsidRPr="00D179B1">
        <w:rPr>
          <w:rStyle w:val="s6b621b36"/>
          <w:i/>
        </w:rPr>
        <w:t>Allenet de Ribemont</w:t>
      </w:r>
      <w:r w:rsidRPr="00D179B1">
        <w:rPr>
          <w:rStyle w:val="sb8d990e2"/>
        </w:rPr>
        <w:t xml:space="preserve">, précité, § 38 et </w:t>
      </w:r>
      <w:r w:rsidRPr="00D179B1">
        <w:rPr>
          <w:rStyle w:val="s6b621b36"/>
          <w:i/>
        </w:rPr>
        <w:t>Y.B. et autres c. Turquie</w:t>
      </w:r>
      <w:r w:rsidRPr="00D179B1">
        <w:rPr>
          <w:rStyle w:val="sb8d990e2"/>
        </w:rPr>
        <w:t>, n</w:t>
      </w:r>
      <w:r w:rsidRPr="00D179B1">
        <w:rPr>
          <w:rStyle w:val="sea881cdfhasverticalalignsuper"/>
          <w:vertAlign w:val="superscript"/>
        </w:rPr>
        <w:t>os</w:t>
      </w:r>
      <w:r w:rsidRPr="00D179B1">
        <w:rPr>
          <w:rStyle w:val="sb8d990e2"/>
        </w:rPr>
        <w:t xml:space="preserve"> 48173/99 et 48319/99, § 47, 28</w:t>
      </w:r>
      <w:r>
        <w:rPr>
          <w:rStyle w:val="sb8d990e2"/>
        </w:rPr>
        <w:t> </w:t>
      </w:r>
      <w:r w:rsidRPr="00D179B1">
        <w:rPr>
          <w:rStyle w:val="sb8d990e2"/>
        </w:rPr>
        <w:t>octobre 2004). Si la Cour reconnaît que la liberté d</w:t>
      </w:r>
      <w:r w:rsidR="00CA3210">
        <w:rPr>
          <w:rStyle w:val="sb8d990e2"/>
        </w:rPr>
        <w:t>’</w:t>
      </w:r>
      <w:r w:rsidRPr="00D179B1">
        <w:rPr>
          <w:rStyle w:val="sb8d990e2"/>
        </w:rPr>
        <w:t>expression et de communication emporte le droit de relater des procédures judiciaires, et partant, la possibilité pour les autorités de rendre publics des éléments objectifs tirés de la procédure, elle estime toutefois que ces éléments doivent être exempts de toute appréciation ou préjugé de culpabilité (</w:t>
      </w:r>
      <w:r w:rsidRPr="00D179B1">
        <w:rPr>
          <w:rStyle w:val="s6b621b36"/>
          <w:i/>
        </w:rPr>
        <w:t>Y.B. et autres c. Turquie</w:t>
      </w:r>
      <w:r w:rsidRPr="00D179B1">
        <w:rPr>
          <w:rStyle w:val="sb8d990e2"/>
        </w:rPr>
        <w:t>, précité, § 49). La Cour souligne à cet égard l</w:t>
      </w:r>
      <w:r w:rsidR="00CA3210">
        <w:rPr>
          <w:rStyle w:val="sb8d990e2"/>
        </w:rPr>
        <w:t>’</w:t>
      </w:r>
      <w:r w:rsidRPr="00D179B1">
        <w:rPr>
          <w:rStyle w:val="sb8d990e2"/>
        </w:rPr>
        <w:t>importance du choix des termes par les agents de l</w:t>
      </w:r>
      <w:r w:rsidR="00CA3210">
        <w:rPr>
          <w:rStyle w:val="sb8d990e2"/>
        </w:rPr>
        <w:t>’</w:t>
      </w:r>
      <w:r>
        <w:rPr>
          <w:rStyle w:val="sb8d990e2"/>
        </w:rPr>
        <w:t>É</w:t>
      </w:r>
      <w:r w:rsidRPr="00D179B1">
        <w:rPr>
          <w:rStyle w:val="sb8d990e2"/>
        </w:rPr>
        <w:t>tat dans les déclarations qu</w:t>
      </w:r>
      <w:r w:rsidR="00CA3210">
        <w:rPr>
          <w:rStyle w:val="sb8d990e2"/>
        </w:rPr>
        <w:t>’</w:t>
      </w:r>
      <w:r w:rsidRPr="00D179B1">
        <w:rPr>
          <w:rStyle w:val="sb8d990e2"/>
        </w:rPr>
        <w:t>ils formulent avant qu</w:t>
      </w:r>
      <w:r w:rsidR="00CA3210">
        <w:rPr>
          <w:rStyle w:val="sb8d990e2"/>
        </w:rPr>
        <w:t>’</w:t>
      </w:r>
      <w:r w:rsidRPr="00D179B1">
        <w:rPr>
          <w:rStyle w:val="sb8d990e2"/>
        </w:rPr>
        <w:t>une personne n</w:t>
      </w:r>
      <w:r w:rsidR="00CA3210">
        <w:rPr>
          <w:rStyle w:val="sb8d990e2"/>
        </w:rPr>
        <w:t>’</w:t>
      </w:r>
      <w:r w:rsidRPr="00D179B1">
        <w:rPr>
          <w:rStyle w:val="sb8d990e2"/>
        </w:rPr>
        <w:t>ait été jugée et reconnue coupable d</w:t>
      </w:r>
      <w:r w:rsidR="00CA3210">
        <w:rPr>
          <w:rStyle w:val="sb8d990e2"/>
        </w:rPr>
        <w:t>’</w:t>
      </w:r>
      <w:r w:rsidRPr="00D179B1">
        <w:rPr>
          <w:rStyle w:val="sb8d990e2"/>
        </w:rPr>
        <w:t>une infraction. Elle considère ainsi que ce qui importe aux fins d</w:t>
      </w:r>
      <w:r w:rsidR="00CA3210">
        <w:rPr>
          <w:rStyle w:val="sb8d990e2"/>
        </w:rPr>
        <w:t>’</w:t>
      </w:r>
      <w:r w:rsidRPr="00D179B1">
        <w:rPr>
          <w:rStyle w:val="sb8d990e2"/>
        </w:rPr>
        <w:t>application de la disposition précitée, c</w:t>
      </w:r>
      <w:r w:rsidR="00CA3210">
        <w:rPr>
          <w:rStyle w:val="sb8d990e2"/>
        </w:rPr>
        <w:t>’</w:t>
      </w:r>
      <w:r w:rsidRPr="00D179B1">
        <w:rPr>
          <w:rStyle w:val="sb8d990e2"/>
        </w:rPr>
        <w:t>est le sens réel des déclarations en question, et non leur forme littérale</w:t>
      </w:r>
      <w:r w:rsidRPr="00D179B1">
        <w:rPr>
          <w:rStyle w:val="s6b621b36"/>
        </w:rPr>
        <w:t xml:space="preserve"> </w:t>
      </w:r>
      <w:r w:rsidRPr="00D179B1">
        <w:rPr>
          <w:rStyle w:val="sb8d990e2"/>
        </w:rPr>
        <w:t>(</w:t>
      </w:r>
      <w:r w:rsidRPr="00D179B1">
        <w:rPr>
          <w:rStyle w:val="s6b621b36"/>
          <w:i/>
        </w:rPr>
        <w:t>Lavents c. Lettonie</w:t>
      </w:r>
      <w:r w:rsidRPr="00D179B1">
        <w:rPr>
          <w:rStyle w:val="sb8d990e2"/>
        </w:rPr>
        <w:t>, n</w:t>
      </w:r>
      <w:r w:rsidRPr="002922B9">
        <w:rPr>
          <w:rStyle w:val="sb8d990e2"/>
          <w:vertAlign w:val="superscript"/>
        </w:rPr>
        <w:t>o</w:t>
      </w:r>
      <w:r w:rsidRPr="00D179B1">
        <w:rPr>
          <w:rStyle w:val="sb8d990e2"/>
        </w:rPr>
        <w:t> 58442/00, § 126, 28 novembre 2002). Toutefois, le point de savoir si la déclaration d</w:t>
      </w:r>
      <w:r w:rsidR="00CA3210">
        <w:rPr>
          <w:rStyle w:val="sb8d990e2"/>
        </w:rPr>
        <w:t>’</w:t>
      </w:r>
      <w:r w:rsidRPr="00D179B1">
        <w:rPr>
          <w:rStyle w:val="sb8d990e2"/>
        </w:rPr>
        <w:t>un agent public constitue une violation du principe de la présomption d</w:t>
      </w:r>
      <w:r w:rsidR="00CA3210">
        <w:rPr>
          <w:rStyle w:val="sb8d990e2"/>
        </w:rPr>
        <w:t>’</w:t>
      </w:r>
      <w:r w:rsidRPr="00D179B1">
        <w:rPr>
          <w:rStyle w:val="sb8d990e2"/>
        </w:rPr>
        <w:t xml:space="preserve">innocence doit être tranché dans le contexte des circonstances particulières dans lesquelles la déclaration litigieuse a été formulée (voir notamment </w:t>
      </w:r>
      <w:r w:rsidRPr="00D179B1">
        <w:rPr>
          <w:rStyle w:val="s6b621b36"/>
          <w:i/>
        </w:rPr>
        <w:t>Adolf c. Autriche</w:t>
      </w:r>
      <w:r w:rsidRPr="00D179B1">
        <w:rPr>
          <w:rStyle w:val="sb8d990e2"/>
        </w:rPr>
        <w:t>, 26 mars 1982, §§</w:t>
      </w:r>
      <w:r>
        <w:rPr>
          <w:rStyle w:val="sb8d990e2"/>
        </w:rPr>
        <w:t> </w:t>
      </w:r>
      <w:r w:rsidRPr="00D179B1">
        <w:rPr>
          <w:rStyle w:val="sb8d990e2"/>
        </w:rPr>
        <w:t>36</w:t>
      </w:r>
      <w:r>
        <w:rPr>
          <w:rStyle w:val="sb8d990e2"/>
        </w:rPr>
        <w:noBreakHyphen/>
      </w:r>
      <w:r w:rsidRPr="00D179B1">
        <w:rPr>
          <w:rStyle w:val="sb8d990e2"/>
        </w:rPr>
        <w:t>41, série A n</w:t>
      </w:r>
      <w:r w:rsidRPr="002922B9">
        <w:rPr>
          <w:rStyle w:val="sea881cdfhasverticalalignsuper"/>
          <w:vertAlign w:val="superscript"/>
        </w:rPr>
        <w:t>o</w:t>
      </w:r>
      <w:r>
        <w:rPr>
          <w:rStyle w:val="sb8d990e2"/>
        </w:rPr>
        <w:t> </w:t>
      </w:r>
      <w:r w:rsidRPr="00D179B1">
        <w:rPr>
          <w:rStyle w:val="sb8d990e2"/>
        </w:rPr>
        <w:t>49). Une distinction doit en effet être faite entre les déclarations qui reflètent le sentiment que la personne concernée est coupable et celles qui se bornent à décrire un état de suspicion. Les premières violent la présomption d</w:t>
      </w:r>
      <w:r w:rsidR="00CA3210">
        <w:rPr>
          <w:rStyle w:val="sb8d990e2"/>
        </w:rPr>
        <w:t>’</w:t>
      </w:r>
      <w:r w:rsidRPr="00D179B1">
        <w:rPr>
          <w:rStyle w:val="sb8d990e2"/>
        </w:rPr>
        <w:t>innocence, tandis que les deuxièmes ont été à plusieurs reprises considérées comme conformes à l</w:t>
      </w:r>
      <w:r w:rsidR="00CA3210">
        <w:rPr>
          <w:rStyle w:val="sb8d990e2"/>
        </w:rPr>
        <w:t>’</w:t>
      </w:r>
      <w:r w:rsidRPr="00D179B1">
        <w:rPr>
          <w:rStyle w:val="sb8d990e2"/>
        </w:rPr>
        <w:t>esprit de l</w:t>
      </w:r>
      <w:r w:rsidR="00CA3210">
        <w:rPr>
          <w:rStyle w:val="sb8d990e2"/>
        </w:rPr>
        <w:t>’</w:t>
      </w:r>
      <w:r w:rsidRPr="00D179B1">
        <w:rPr>
          <w:rStyle w:val="sb8d990e2"/>
        </w:rPr>
        <w:t>article</w:t>
      </w:r>
      <w:r>
        <w:rPr>
          <w:rStyle w:val="sb8d990e2"/>
        </w:rPr>
        <w:t> </w:t>
      </w:r>
      <w:r w:rsidRPr="00D179B1">
        <w:rPr>
          <w:rStyle w:val="sb8d990e2"/>
        </w:rPr>
        <w:t>6 de la Convention (</w:t>
      </w:r>
      <w:r w:rsidRPr="00D179B1">
        <w:rPr>
          <w:rStyle w:val="s6b621b36"/>
          <w:i/>
        </w:rPr>
        <w:t>Marziano c. Italie</w:t>
      </w:r>
      <w:r w:rsidRPr="00D179B1">
        <w:rPr>
          <w:rStyle w:val="sb8d990e2"/>
        </w:rPr>
        <w:t>, n</w:t>
      </w:r>
      <w:r w:rsidRPr="002922B9">
        <w:rPr>
          <w:rStyle w:val="sb8d990e2"/>
          <w:vertAlign w:val="superscript"/>
        </w:rPr>
        <w:t>o</w:t>
      </w:r>
      <w:r>
        <w:rPr>
          <w:rStyle w:val="sb8d990e2"/>
        </w:rPr>
        <w:t> </w:t>
      </w:r>
      <w:r w:rsidRPr="00D179B1">
        <w:rPr>
          <w:rStyle w:val="sb8d990e2"/>
        </w:rPr>
        <w:t>45313/99, § 31, 28 novembre 2002). »</w:t>
      </w:r>
    </w:p>
    <w:p w:rsidR="002922B9" w:rsidRPr="00D179B1" w:rsidRDefault="002922B9" w:rsidP="00CD0DF3">
      <w:pPr>
        <w:pStyle w:val="ECHRHeading4"/>
      </w:pPr>
      <w:r w:rsidRPr="00D179B1">
        <w:t>b)  Application de ces principes au cas d</w:t>
      </w:r>
      <w:r w:rsidR="00CA3210">
        <w:t>’</w:t>
      </w:r>
      <w:r w:rsidRPr="00D179B1">
        <w:t>espèce</w:t>
      </w:r>
    </w:p>
    <w:p w:rsidR="002922B9" w:rsidRPr="00D179B1" w:rsidRDefault="002922B9" w:rsidP="00CD0DF3">
      <w:pPr>
        <w:pStyle w:val="ECHRPara"/>
      </w:pPr>
      <w:r>
        <w:t>27</w:t>
      </w:r>
      <w:r w:rsidRPr="00D179B1">
        <w:t>.  Du point de vue de l</w:t>
      </w:r>
      <w:r w:rsidR="00CA3210">
        <w:t>’</w:t>
      </w:r>
      <w:r w:rsidRPr="00D179B1">
        <w:t>article</w:t>
      </w:r>
      <w:r>
        <w:t> </w:t>
      </w:r>
      <w:r w:rsidRPr="00D179B1">
        <w:t>6 § 2 de la Convention, il est donc essentiel de déterminer si les expressions utilisées lors de la conférence de presse se bornaient à décrire un état de suspicion ou si le requérant a été présenté comme coupable.</w:t>
      </w:r>
    </w:p>
    <w:p w:rsidR="002922B9" w:rsidRPr="003A2319" w:rsidRDefault="002922B9" w:rsidP="00CD0DF3">
      <w:pPr>
        <w:pStyle w:val="ECHRPara"/>
      </w:pPr>
      <w:r>
        <w:t>28</w:t>
      </w:r>
      <w:r w:rsidRPr="00D179B1">
        <w:t>.  Comme indiqué plus haut</w:t>
      </w:r>
      <w:r>
        <w:t xml:space="preserve"> </w:t>
      </w:r>
      <w:r w:rsidRPr="00D179B1">
        <w:t>(paragraphes</w:t>
      </w:r>
      <w:r>
        <w:t> </w:t>
      </w:r>
      <w:r w:rsidRPr="00D179B1">
        <w:t>8 et 2</w:t>
      </w:r>
      <w:r>
        <w:t>5</w:t>
      </w:r>
      <w:r w:rsidRPr="00D179B1">
        <w:t xml:space="preserve"> ci-dessus), la Cour ne dispose pas du texte ou de l</w:t>
      </w:r>
      <w:r w:rsidR="00CA3210">
        <w:t>’</w:t>
      </w:r>
      <w:r w:rsidRPr="00D179B1">
        <w:t xml:space="preserve">enregistrement de la conférence litigieuse. La Cour note cependant que la presse a publié des articles concernant les investigations entamées contre le requérant </w:t>
      </w:r>
      <w:r>
        <w:t xml:space="preserve">en </w:t>
      </w:r>
      <w:r w:rsidRPr="003A2319">
        <w:t xml:space="preserve">se fondant, notamment, sur le contenu des informations divulguées par les enquêteurs lors de la conférence </w:t>
      </w:r>
      <w:r w:rsidRPr="00D179B1">
        <w:t xml:space="preserve">du 15 mars 2006. La Cour a examiné ces articles sans y trouver aucune affirmation reflétant le sentiment que le requérant était coupable. </w:t>
      </w:r>
      <w:r>
        <w:t>Diverses précautions d</w:t>
      </w:r>
      <w:r w:rsidR="00CA3210">
        <w:t>’</w:t>
      </w:r>
      <w:r>
        <w:t xml:space="preserve">usage, comme le recours au mode conditionnel, y étaient employées. </w:t>
      </w:r>
      <w:r w:rsidRPr="003A2319">
        <w:t xml:space="preserve">Il était notamment </w:t>
      </w:r>
      <w:r>
        <w:t>énoncé</w:t>
      </w:r>
      <w:r w:rsidRPr="003A2319">
        <w:t xml:space="preserve"> que le chef de la secte « serait » un professeur de Sarno (paragraphe</w:t>
      </w:r>
      <w:r>
        <w:t> </w:t>
      </w:r>
      <w:r w:rsidRPr="003A2319">
        <w:t xml:space="preserve">9 ci-dessus), et le requérant était </w:t>
      </w:r>
      <w:r>
        <w:t>présenté</w:t>
      </w:r>
      <w:r w:rsidRPr="003A2319">
        <w:t xml:space="preserve"> comme le leader</w:t>
      </w:r>
      <w:r>
        <w:t xml:space="preserve"> «</w:t>
      </w:r>
      <w:r w:rsidRPr="003A2319">
        <w:t> présumé » du groupe (paragraphe</w:t>
      </w:r>
      <w:r>
        <w:t> </w:t>
      </w:r>
      <w:r w:rsidRPr="003A2319">
        <w:t>10 ci</w:t>
      </w:r>
      <w:r>
        <w:noBreakHyphen/>
      </w:r>
      <w:r w:rsidRPr="003A2319">
        <w:t xml:space="preserve">dessus). Le journal </w:t>
      </w:r>
      <w:r w:rsidRPr="003A2319">
        <w:rPr>
          <w:i/>
        </w:rPr>
        <w:t xml:space="preserve">La Città </w:t>
      </w:r>
      <w:r w:rsidRPr="003A2319">
        <w:t xml:space="preserve">a également relaté les </w:t>
      </w:r>
      <w:r>
        <w:t>propos</w:t>
      </w:r>
      <w:r w:rsidRPr="003A2319">
        <w:t xml:space="preserve"> du magistrat </w:t>
      </w:r>
      <w:r>
        <w:t>coordinateur de</w:t>
      </w:r>
      <w:r w:rsidRPr="003A2319">
        <w:t xml:space="preserve"> l</w:t>
      </w:r>
      <w:r w:rsidR="00CA3210">
        <w:t>’</w:t>
      </w:r>
      <w:r w:rsidRPr="003A2319">
        <w:t xml:space="preserve">enquête </w:t>
      </w:r>
      <w:r>
        <w:t>expliquant</w:t>
      </w:r>
      <w:r w:rsidRPr="003A2319">
        <w:t xml:space="preserve"> qu</w:t>
      </w:r>
      <w:r w:rsidR="00CA3210">
        <w:t>’</w:t>
      </w:r>
      <w:r w:rsidRPr="003A2319">
        <w:t>il fallait encore vérifier si des délits avaient été commis et qu</w:t>
      </w:r>
      <w:r w:rsidR="00CA3210">
        <w:t>’</w:t>
      </w:r>
      <w:r w:rsidRPr="003A2319">
        <w:t>en l</w:t>
      </w:r>
      <w:r w:rsidR="00CA3210">
        <w:t>’</w:t>
      </w:r>
      <w:r w:rsidRPr="003A2319">
        <w:t>état les accusations n</w:t>
      </w:r>
      <w:r w:rsidR="00CA3210">
        <w:t>’</w:t>
      </w:r>
      <w:r w:rsidRPr="003A2319">
        <w:t>étaient pas corroborées par d</w:t>
      </w:r>
      <w:r>
        <w:t xml:space="preserve">es </w:t>
      </w:r>
      <w:r w:rsidRPr="003A2319">
        <w:t>éléments de preuve suffisants (paragraphe</w:t>
      </w:r>
      <w:r>
        <w:t> </w:t>
      </w:r>
      <w:r w:rsidRPr="003A2319">
        <w:t xml:space="preserve">10 ci-dessus). Le quotidien </w:t>
      </w:r>
      <w:r w:rsidRPr="003A2319">
        <w:rPr>
          <w:i/>
        </w:rPr>
        <w:t>Il Mattino</w:t>
      </w:r>
      <w:r w:rsidRPr="003A2319">
        <w:t>, quant à lui, se borna à indiquer les accusations dont le requérant faisait l</w:t>
      </w:r>
      <w:r w:rsidR="00CA3210">
        <w:t>’</w:t>
      </w:r>
      <w:r w:rsidRPr="003A2319">
        <w:t>objet et les soupçons pesant sur le suicide d</w:t>
      </w:r>
      <w:r w:rsidR="00CA3210">
        <w:t>’</w:t>
      </w:r>
      <w:r w:rsidRPr="003A2319">
        <w:t>un jeune homme (paragraphe</w:t>
      </w:r>
      <w:r>
        <w:t> </w:t>
      </w:r>
      <w:r w:rsidRPr="003A2319">
        <w:t xml:space="preserve">11 ci-dessus). Enfin, il est vrai que le quotidien </w:t>
      </w:r>
      <w:r w:rsidRPr="003A2319">
        <w:rPr>
          <w:i/>
        </w:rPr>
        <w:t>La</w:t>
      </w:r>
      <w:r>
        <w:rPr>
          <w:i/>
        </w:rPr>
        <w:t> </w:t>
      </w:r>
      <w:r w:rsidRPr="003A2319">
        <w:rPr>
          <w:i/>
        </w:rPr>
        <w:t xml:space="preserve">Città </w:t>
      </w:r>
      <w:r w:rsidRPr="003A2319">
        <w:t>du 12 avril 2006 a affirmé qu</w:t>
      </w:r>
      <w:r w:rsidR="00CA3210">
        <w:t>’</w:t>
      </w:r>
      <w:r w:rsidRPr="003A2319">
        <w:t>il y avait « des raisons bien fondées</w:t>
      </w:r>
      <w:r>
        <w:t xml:space="preserve"> de tenir </w:t>
      </w:r>
      <w:r w:rsidRPr="003A2319">
        <w:t xml:space="preserve">[le requérant] </w:t>
      </w:r>
      <w:r>
        <w:t>pour</w:t>
      </w:r>
      <w:r w:rsidRPr="003A2319">
        <w:t xml:space="preserve"> un consommateur habituel de stupéfiants, mais </w:t>
      </w:r>
      <w:r>
        <w:t xml:space="preserve">aussi et </w:t>
      </w:r>
      <w:r w:rsidRPr="003A2319">
        <w:t xml:space="preserve">surtout </w:t>
      </w:r>
      <w:r>
        <w:t xml:space="preserve">pour </w:t>
      </w:r>
      <w:r w:rsidRPr="003A2319">
        <w:t xml:space="preserve">un distributeur de ces mêmes substances parmi les jeunes </w:t>
      </w:r>
      <w:r>
        <w:t>élève</w:t>
      </w:r>
      <w:r w:rsidRPr="005E487F">
        <w:t>s du lycée où il enseigne » (paragraphe</w:t>
      </w:r>
      <w:r>
        <w:t> </w:t>
      </w:r>
      <w:r w:rsidRPr="005E487F">
        <w:t>13 ci-dessus) ; toutefois, ce même quotidien relatait également des éléments favorables à l</w:t>
      </w:r>
      <w:r w:rsidR="00CA3210">
        <w:t>’</w:t>
      </w:r>
      <w:r w:rsidRPr="005E487F">
        <w:t>accusé, tels qu</w:t>
      </w:r>
      <w:r w:rsidR="00CA3210">
        <w:t>’</w:t>
      </w:r>
      <w:r w:rsidRPr="005E487F">
        <w:t>une note des carabiniers selon laquelle le requérant était une personne de conduite morale et civile normale qui ne consommait pas de stupéfiants, et les résultats d</w:t>
      </w:r>
      <w:r w:rsidR="00CA3210">
        <w:t>’</w:t>
      </w:r>
      <w:r w:rsidRPr="005E487F">
        <w:t>enquêtes ultérieures</w:t>
      </w:r>
      <w:r w:rsidRPr="00683570">
        <w:t xml:space="preserve"> qui</w:t>
      </w:r>
      <w:r w:rsidRPr="005D3E5F">
        <w:t xml:space="preserve"> n</w:t>
      </w:r>
      <w:r w:rsidR="00CA3210">
        <w:t>’</w:t>
      </w:r>
      <w:r w:rsidRPr="005D3E5F">
        <w:t>avaient apporté aucune contribution significative aux investigations (paragraphe</w:t>
      </w:r>
      <w:r>
        <w:t> </w:t>
      </w:r>
      <w:r w:rsidRPr="005D3E5F">
        <w:t>14 ci</w:t>
      </w:r>
      <w:r>
        <w:noBreakHyphen/>
      </w:r>
      <w:r w:rsidRPr="005D3E5F">
        <w:t>dessus).</w:t>
      </w:r>
    </w:p>
    <w:p w:rsidR="002922B9" w:rsidRPr="00E64240" w:rsidRDefault="002922B9" w:rsidP="00CD0DF3">
      <w:pPr>
        <w:pStyle w:val="ECHRPara"/>
      </w:pPr>
      <w:r>
        <w:t>29</w:t>
      </w:r>
      <w:r w:rsidRPr="003A2319">
        <w:t>.  Dans ces circonstances, la Cour estime que les autorités se sont bornées à décrire un état de suspicion envers le requérant, et qu</w:t>
      </w:r>
      <w:r w:rsidR="00CA3210">
        <w:t>’</w:t>
      </w:r>
      <w:r w:rsidRPr="003A2319">
        <w:t>aucune apparence de violation du principe de la présomption d</w:t>
      </w:r>
      <w:r w:rsidR="00CA3210">
        <w:t>’</w:t>
      </w:r>
      <w:r w:rsidRPr="003A2319">
        <w:t>innocence ne saurait être décelée en l</w:t>
      </w:r>
      <w:r w:rsidR="00CA3210">
        <w:t>’</w:t>
      </w:r>
      <w:r w:rsidRPr="003A2319">
        <w:t>espèce.</w:t>
      </w:r>
    </w:p>
    <w:p w:rsidR="002922B9" w:rsidRPr="00B93154" w:rsidRDefault="002922B9" w:rsidP="00CD0DF3">
      <w:pPr>
        <w:pStyle w:val="ECHRPara"/>
      </w:pPr>
      <w:r>
        <w:t>30</w:t>
      </w:r>
      <w:r w:rsidRPr="00E64240">
        <w:t>.  </w:t>
      </w:r>
      <w:r w:rsidRPr="00B93154">
        <w:t>Enfin, p</w:t>
      </w:r>
      <w:r w:rsidRPr="00B93154">
        <w:rPr>
          <w:rStyle w:val="sb8d990e2"/>
        </w:rPr>
        <w:t>our autant que le requérant se plaint d</w:t>
      </w:r>
      <w:r w:rsidR="00CA3210">
        <w:rPr>
          <w:rStyle w:val="sb8d990e2"/>
        </w:rPr>
        <w:t>’</w:t>
      </w:r>
      <w:r w:rsidRPr="00B93154">
        <w:rPr>
          <w:rStyle w:val="sb8d990e2"/>
        </w:rPr>
        <w:t xml:space="preserve">une atteinte à </w:t>
      </w:r>
      <w:r w:rsidRPr="00D179B1">
        <w:t>l</w:t>
      </w:r>
      <w:r w:rsidR="00CA3210">
        <w:t>’</w:t>
      </w:r>
      <w:r w:rsidRPr="00D179B1">
        <w:t>article 17 du Pacte international sur les droits civils et politiques</w:t>
      </w:r>
      <w:r w:rsidRPr="00D179B1">
        <w:rPr>
          <w:rStyle w:val="sb8d990e2"/>
        </w:rPr>
        <w:t xml:space="preserve">, la Cour rappelle </w:t>
      </w:r>
      <w:r>
        <w:rPr>
          <w:rStyle w:val="sb8d990e2"/>
        </w:rPr>
        <w:t>que sa mission se limite à l</w:t>
      </w:r>
      <w:r w:rsidR="00CA3210">
        <w:rPr>
          <w:rStyle w:val="sb8d990e2"/>
        </w:rPr>
        <w:t>’</w:t>
      </w:r>
      <w:r>
        <w:rPr>
          <w:rStyle w:val="sb8d990e2"/>
        </w:rPr>
        <w:t>application de</w:t>
      </w:r>
      <w:r w:rsidRPr="00B93154">
        <w:rPr>
          <w:rStyle w:val="sb8d990e2"/>
        </w:rPr>
        <w:t xml:space="preserve"> la Convention européenne des Droits de l</w:t>
      </w:r>
      <w:r w:rsidR="00CA3210">
        <w:rPr>
          <w:rStyle w:val="sb8d990e2"/>
        </w:rPr>
        <w:t>’</w:t>
      </w:r>
      <w:r w:rsidRPr="00B93154">
        <w:rPr>
          <w:rStyle w:val="sb8d990e2"/>
        </w:rPr>
        <w:t>Homme, et qu</w:t>
      </w:r>
      <w:r w:rsidR="00CA3210">
        <w:rPr>
          <w:rStyle w:val="sb8d990e2"/>
        </w:rPr>
        <w:t>’</w:t>
      </w:r>
      <w:r w:rsidRPr="00B93154">
        <w:rPr>
          <w:rStyle w:val="sb8d990e2"/>
        </w:rPr>
        <w:t>elle n</w:t>
      </w:r>
      <w:r w:rsidR="00CA3210">
        <w:rPr>
          <w:rStyle w:val="sb8d990e2"/>
        </w:rPr>
        <w:t>’</w:t>
      </w:r>
      <w:r w:rsidRPr="00B93154">
        <w:rPr>
          <w:rStyle w:val="sb8d990e2"/>
        </w:rPr>
        <w:t>est pas compétente pour faire application ou surveiller le respect d</w:t>
      </w:r>
      <w:r w:rsidR="00CA3210">
        <w:rPr>
          <w:rStyle w:val="sb8d990e2"/>
        </w:rPr>
        <w:t>’</w:t>
      </w:r>
      <w:r w:rsidRPr="00B93154">
        <w:rPr>
          <w:rStyle w:val="sb8d990e2"/>
        </w:rPr>
        <w:t xml:space="preserve">autres conventions internationales en tant que telles (voir, </w:t>
      </w:r>
      <w:r w:rsidRPr="00B93154">
        <w:rPr>
          <w:rStyle w:val="s6b621b36"/>
          <w:i/>
        </w:rPr>
        <w:t>mutatis mutandis</w:t>
      </w:r>
      <w:r w:rsidRPr="00B93154">
        <w:rPr>
          <w:rStyle w:val="sb8d990e2"/>
        </w:rPr>
        <w:t xml:space="preserve">, </w:t>
      </w:r>
      <w:r w:rsidRPr="00B93154">
        <w:rPr>
          <w:rStyle w:val="s6b621b36"/>
          <w:i/>
        </w:rPr>
        <w:t>Di Giovine c. Portugal</w:t>
      </w:r>
      <w:r w:rsidRPr="00B93154">
        <w:rPr>
          <w:rStyle w:val="sb8d990e2"/>
        </w:rPr>
        <w:t xml:space="preserve"> (déc.), n</w:t>
      </w:r>
      <w:r w:rsidRPr="002922B9">
        <w:rPr>
          <w:rStyle w:val="sb8d990e2"/>
          <w:vertAlign w:val="superscript"/>
        </w:rPr>
        <w:t>o</w:t>
      </w:r>
      <w:r w:rsidRPr="00B93154">
        <w:rPr>
          <w:rStyle w:val="sb8d990e2"/>
        </w:rPr>
        <w:t xml:space="preserve"> 39912/98, 31 août 1999, et </w:t>
      </w:r>
      <w:r w:rsidRPr="00B93154">
        <w:rPr>
          <w:rStyle w:val="sb8d990e2"/>
          <w:i/>
        </w:rPr>
        <w:t xml:space="preserve">Hermida Paz c. Espagne </w:t>
      </w:r>
      <w:r w:rsidRPr="00B93154">
        <w:rPr>
          <w:rStyle w:val="sb8d990e2"/>
        </w:rPr>
        <w:t>(déc.), n</w:t>
      </w:r>
      <w:r w:rsidRPr="002922B9">
        <w:rPr>
          <w:rStyle w:val="sb8d990e2"/>
          <w:vertAlign w:val="superscript"/>
        </w:rPr>
        <w:t>o</w:t>
      </w:r>
      <w:r>
        <w:rPr>
          <w:rStyle w:val="sb8d990e2"/>
        </w:rPr>
        <w:t> </w:t>
      </w:r>
      <w:r w:rsidRPr="00B93154">
        <w:rPr>
          <w:rStyle w:val="sb8d990e2"/>
        </w:rPr>
        <w:t>4160/02, 28</w:t>
      </w:r>
      <w:r>
        <w:rPr>
          <w:rStyle w:val="sb8d990e2"/>
        </w:rPr>
        <w:t> </w:t>
      </w:r>
      <w:r w:rsidRPr="00B93154">
        <w:rPr>
          <w:rStyle w:val="sb8d990e2"/>
        </w:rPr>
        <w:t>janvier 2003).</w:t>
      </w:r>
    </w:p>
    <w:p w:rsidR="002922B9" w:rsidRPr="00D179B1" w:rsidRDefault="002922B9" w:rsidP="00CD0DF3">
      <w:pPr>
        <w:pStyle w:val="ECHRPara"/>
      </w:pPr>
      <w:r>
        <w:t>31</w:t>
      </w:r>
      <w:r w:rsidRPr="00066645">
        <w:t>.  </w:t>
      </w:r>
      <w:r w:rsidRPr="00652475">
        <w:rPr>
          <w:snapToGrid w:val="0"/>
          <w:lang w:eastAsia="en-US"/>
        </w:rPr>
        <w:t>Il s</w:t>
      </w:r>
      <w:r w:rsidR="00CA3210">
        <w:rPr>
          <w:snapToGrid w:val="0"/>
          <w:lang w:eastAsia="en-US"/>
        </w:rPr>
        <w:t>’</w:t>
      </w:r>
      <w:r w:rsidRPr="00652475">
        <w:rPr>
          <w:snapToGrid w:val="0"/>
          <w:lang w:eastAsia="en-US"/>
        </w:rPr>
        <w:t>ensuit que ce grief est manifestement mal fondé et doit être rejet</w:t>
      </w:r>
      <w:r w:rsidRPr="00D179B1">
        <w:rPr>
          <w:snapToGrid w:val="0"/>
          <w:lang w:eastAsia="en-US"/>
        </w:rPr>
        <w:t>é en application de l</w:t>
      </w:r>
      <w:r w:rsidR="00CA3210">
        <w:rPr>
          <w:snapToGrid w:val="0"/>
          <w:lang w:eastAsia="en-US"/>
        </w:rPr>
        <w:t>’</w:t>
      </w:r>
      <w:r w:rsidRPr="00D179B1">
        <w:rPr>
          <w:snapToGrid w:val="0"/>
          <w:lang w:eastAsia="en-US"/>
        </w:rPr>
        <w:t>article</w:t>
      </w:r>
      <w:r>
        <w:rPr>
          <w:snapToGrid w:val="0"/>
          <w:lang w:eastAsia="en-US"/>
        </w:rPr>
        <w:t> </w:t>
      </w:r>
      <w:r w:rsidRPr="00D179B1">
        <w:rPr>
          <w:snapToGrid w:val="0"/>
          <w:lang w:eastAsia="en-US"/>
        </w:rPr>
        <w:t xml:space="preserve">35 §§ 3 </w:t>
      </w:r>
      <w:r w:rsidRPr="00D179B1">
        <w:t xml:space="preserve">(a) </w:t>
      </w:r>
      <w:r w:rsidRPr="00D179B1">
        <w:rPr>
          <w:snapToGrid w:val="0"/>
          <w:lang w:eastAsia="en-US"/>
        </w:rPr>
        <w:t>et 4 de la Convention.</w:t>
      </w:r>
    </w:p>
    <w:p w:rsidR="002922B9" w:rsidRPr="00D179B1" w:rsidRDefault="002922B9" w:rsidP="00CD0DF3">
      <w:pPr>
        <w:pStyle w:val="ECHRHeading2"/>
      </w:pPr>
      <w:r>
        <w:t>B</w:t>
      </w:r>
      <w:r w:rsidRPr="00D179B1">
        <w:t>.  Grief tiré de l</w:t>
      </w:r>
      <w:r w:rsidR="00CA3210">
        <w:t>’</w:t>
      </w:r>
      <w:r w:rsidRPr="00D179B1">
        <w:t>article</w:t>
      </w:r>
      <w:r>
        <w:t> </w:t>
      </w:r>
      <w:r w:rsidRPr="00D179B1">
        <w:t>8 de la Convention</w:t>
      </w:r>
    </w:p>
    <w:p w:rsidR="002922B9" w:rsidRPr="00D179B1" w:rsidRDefault="002922B9" w:rsidP="00CD0DF3">
      <w:pPr>
        <w:pStyle w:val="ECHRPara"/>
      </w:pPr>
      <w:r>
        <w:t>32</w:t>
      </w:r>
      <w:r w:rsidRPr="00D179B1">
        <w:t>.  Le requérant se plaint d</w:t>
      </w:r>
      <w:r w:rsidR="00CA3210">
        <w:t>’</w:t>
      </w:r>
      <w:r w:rsidRPr="00D179B1">
        <w:t>une atteinte à son droit au respect de sa vie privée, tel que garanti par l</w:t>
      </w:r>
      <w:r w:rsidR="00CA3210">
        <w:t>’</w:t>
      </w:r>
      <w:r w:rsidRPr="00D179B1">
        <w:t>article</w:t>
      </w:r>
      <w:r>
        <w:t> </w:t>
      </w:r>
      <w:r w:rsidRPr="00D179B1">
        <w:t>8 de la Convention, ainsi libellé :</w:t>
      </w:r>
    </w:p>
    <w:p w:rsidR="002922B9" w:rsidRPr="00D179B1" w:rsidRDefault="002922B9" w:rsidP="00CD0DF3">
      <w:pPr>
        <w:pStyle w:val="ECHRParaQuote"/>
      </w:pPr>
      <w:r w:rsidRPr="00D179B1">
        <w:t>« 1.Toute personne a droit au respect de sa vie privée et familiale, de son domicile et de sa correspondance.</w:t>
      </w:r>
    </w:p>
    <w:p w:rsidR="002922B9" w:rsidRPr="00D179B1" w:rsidRDefault="002922B9" w:rsidP="00CD0DF3">
      <w:pPr>
        <w:pStyle w:val="ECHRParaQuote"/>
      </w:pPr>
      <w:r w:rsidRPr="00D179B1">
        <w:t>2.  Il ne peut y avoir ingérence d</w:t>
      </w:r>
      <w:r w:rsidR="00CA3210">
        <w:t>’</w:t>
      </w:r>
      <w:r w:rsidRPr="00D179B1">
        <w:t>une autorité publique dans l</w:t>
      </w:r>
      <w:r w:rsidR="00CA3210">
        <w:t>’</w:t>
      </w:r>
      <w:r w:rsidRPr="00D179B1">
        <w:t>exercice de ce droit que pour autant que cette ingérence est prévue par la loi et qu</w:t>
      </w:r>
      <w:r w:rsidR="00CA3210">
        <w:t>’</w:t>
      </w:r>
      <w:r w:rsidRPr="00D179B1">
        <w:t>elle constitue une mesure qui, dans une société démocratique, est nécessaire à la sécurité nationale, à la sûreté publique, au bien</w:t>
      </w:r>
      <w:r w:rsidRPr="00D179B1">
        <w:noBreakHyphen/>
        <w:t>être économique du pays, à la défense de l</w:t>
      </w:r>
      <w:r w:rsidR="00CA3210">
        <w:t>’</w:t>
      </w:r>
      <w:r w:rsidRPr="00D179B1">
        <w:t>ordre et à la prévention des infractions pénales, à la protection de la santé ou de la morale, ou à la protection des droits et libertés d</w:t>
      </w:r>
      <w:r w:rsidR="00CA3210">
        <w:t>’</w:t>
      </w:r>
      <w:r w:rsidRPr="00D179B1">
        <w:t>autrui. »</w:t>
      </w:r>
    </w:p>
    <w:p w:rsidR="002922B9" w:rsidRPr="00D179B1" w:rsidRDefault="002922B9" w:rsidP="00CD0DF3">
      <w:pPr>
        <w:pStyle w:val="ECHRHeading3"/>
      </w:pPr>
      <w:r w:rsidRPr="00D179B1">
        <w:t>1.  Arguments des parties</w:t>
      </w:r>
    </w:p>
    <w:p w:rsidR="002922B9" w:rsidRPr="00D179B1" w:rsidRDefault="002922B9" w:rsidP="00CD0DF3">
      <w:pPr>
        <w:pStyle w:val="ECHRHeading4"/>
      </w:pPr>
      <w:r w:rsidRPr="00D179B1">
        <w:t>a)  Le requérant</w:t>
      </w:r>
    </w:p>
    <w:p w:rsidR="002922B9" w:rsidRPr="00D179B1" w:rsidRDefault="002922B9" w:rsidP="00CD0DF3">
      <w:pPr>
        <w:pStyle w:val="ECHRPara"/>
      </w:pPr>
      <w:r>
        <w:t>33</w:t>
      </w:r>
      <w:r w:rsidRPr="00D179B1">
        <w:t>.  Le requérant souligne que l</w:t>
      </w:r>
      <w:r w:rsidR="00CA3210">
        <w:t>’</w:t>
      </w:r>
      <w:r w:rsidRPr="00D179B1">
        <w:t>ouverture des poursuites à son encontre n</w:t>
      </w:r>
      <w:r w:rsidR="00CA3210">
        <w:t>’</w:t>
      </w:r>
      <w:r w:rsidRPr="00D179B1">
        <w:t>était pas connue du public et que les investigations préliminaires étaient encore en cours. Il affirme que la divulgation d</w:t>
      </w:r>
      <w:r w:rsidR="00CA3210">
        <w:t>’</w:t>
      </w:r>
      <w:r w:rsidRPr="00D179B1">
        <w:t>actes d</w:t>
      </w:r>
      <w:r w:rsidR="00CA3210">
        <w:t>’</w:t>
      </w:r>
      <w:r w:rsidRPr="00D179B1">
        <w:t xml:space="preserve">investigation </w:t>
      </w:r>
      <w:r>
        <w:t>par</w:t>
      </w:r>
      <w:r w:rsidRPr="00B93154">
        <w:t xml:space="preserve"> la presse a violé le secret de l</w:t>
      </w:r>
      <w:r w:rsidR="00CA3210">
        <w:t>’</w:t>
      </w:r>
      <w:r w:rsidRPr="00B93154">
        <w:t>instruction et l</w:t>
      </w:r>
      <w:r w:rsidR="00CA3210">
        <w:t>’</w:t>
      </w:r>
      <w:r w:rsidRPr="00B93154">
        <w:t>article</w:t>
      </w:r>
      <w:r>
        <w:t> </w:t>
      </w:r>
      <w:r w:rsidRPr="00B93154">
        <w:t>114 du CPP, et soutien</w:t>
      </w:r>
      <w:r>
        <w:t xml:space="preserve">t </w:t>
      </w:r>
      <w:r w:rsidRPr="00B93154">
        <w:t xml:space="preserve">que les poursuites à son encontre </w:t>
      </w:r>
      <w:r w:rsidRPr="008D209C">
        <w:t>n</w:t>
      </w:r>
      <w:r w:rsidR="00CA3210">
        <w:t>’</w:t>
      </w:r>
      <w:r w:rsidRPr="008D209C">
        <w:t>auraient jamais dû être ouvertes.</w:t>
      </w:r>
      <w:r w:rsidRPr="00066645">
        <w:t xml:space="preserve"> Même s</w:t>
      </w:r>
      <w:r w:rsidR="00CA3210">
        <w:t>’</w:t>
      </w:r>
      <w:r w:rsidRPr="00066645">
        <w:t>il n</w:t>
      </w:r>
      <w:r w:rsidR="00CA3210">
        <w:t>’</w:t>
      </w:r>
      <w:r w:rsidRPr="00066645">
        <w:t xml:space="preserve">y a pas eu publication intégrale des actes de la procédure, les informations données </w:t>
      </w:r>
      <w:r>
        <w:t>par</w:t>
      </w:r>
      <w:r w:rsidRPr="00066645">
        <w:t xml:space="preserve"> la presse étaient suffisamment précises pour permettre d</w:t>
      </w:r>
      <w:r w:rsidR="00CA3210">
        <w:t>’</w:t>
      </w:r>
      <w:r w:rsidRPr="00066645">
        <w:t>identifier le requérant.</w:t>
      </w:r>
    </w:p>
    <w:p w:rsidR="002922B9" w:rsidRPr="00D179B1" w:rsidRDefault="002922B9" w:rsidP="00CD0DF3">
      <w:pPr>
        <w:pStyle w:val="ECHRHeading4"/>
      </w:pPr>
      <w:r w:rsidRPr="00D179B1">
        <w:t>b)  Le Gouvernement</w:t>
      </w:r>
    </w:p>
    <w:p w:rsidR="002922B9" w:rsidRDefault="002922B9" w:rsidP="00CD0DF3">
      <w:pPr>
        <w:pStyle w:val="ECHRPara"/>
      </w:pPr>
      <w:r>
        <w:t>34</w:t>
      </w:r>
      <w:r w:rsidRPr="00D179B1">
        <w:t>.  </w:t>
      </w:r>
      <w:r>
        <w:t>Le Gouvernement observe tout d</w:t>
      </w:r>
      <w:r w:rsidR="00CA3210">
        <w:t>’</w:t>
      </w:r>
      <w:r>
        <w:t xml:space="preserve">abord que le requérant a entamé des procédures civiles contre les journaux </w:t>
      </w:r>
      <w:r>
        <w:rPr>
          <w:i/>
        </w:rPr>
        <w:t xml:space="preserve">Cronache del Mezzogiorno </w:t>
      </w:r>
      <w:r>
        <w:t xml:space="preserve">et </w:t>
      </w:r>
      <w:r>
        <w:rPr>
          <w:i/>
        </w:rPr>
        <w:t xml:space="preserve">Il Salernitano </w:t>
      </w:r>
      <w:r>
        <w:t>et allègue qu</w:t>
      </w:r>
      <w:r w:rsidR="00CA3210">
        <w:t>’</w:t>
      </w:r>
      <w:r>
        <w:t>il s</w:t>
      </w:r>
      <w:r w:rsidR="00CA3210">
        <w:t>’</w:t>
      </w:r>
      <w:r>
        <w:t>agit d</w:t>
      </w:r>
      <w:r w:rsidR="00CA3210">
        <w:t>’</w:t>
      </w:r>
      <w:r>
        <w:t>un « fait pertinent » au sens de l</w:t>
      </w:r>
      <w:r w:rsidR="00CA3210">
        <w:t>’</w:t>
      </w:r>
      <w:r>
        <w:t xml:space="preserve">article 35 de la Convention. </w:t>
      </w:r>
      <w:r w:rsidRPr="00D179B1">
        <w:t xml:space="preserve">Le Gouvernement </w:t>
      </w:r>
      <w:r>
        <w:t>soutient</w:t>
      </w:r>
      <w:r w:rsidRPr="00D179B1">
        <w:t xml:space="preserve"> </w:t>
      </w:r>
      <w:r>
        <w:t xml:space="preserve">de surcroît </w:t>
      </w:r>
      <w:r w:rsidRPr="00D179B1">
        <w:t>que les articles publiés tout de suite après la conférence se bornaient à donner des informations sur l</w:t>
      </w:r>
      <w:r w:rsidR="00CA3210">
        <w:t>’</w:t>
      </w:r>
      <w:r w:rsidRPr="00D179B1">
        <w:t>enquête concernant les adeptes d</w:t>
      </w:r>
      <w:r w:rsidR="00CA3210">
        <w:t>’</w:t>
      </w:r>
      <w:r w:rsidRPr="00D179B1">
        <w:t xml:space="preserve">une secte satanique et leurs pratiques et à indiquer que le chef présumé de cette secte était un professeur de lycée de Sarno. Les articles publiés quelques jours après étaient, en revanche, plus spécifiques ; cependant, ils présentaient aussi les répliques </w:t>
      </w:r>
      <w:r w:rsidRPr="008D209C">
        <w:t>indignées du requérant.</w:t>
      </w:r>
    </w:p>
    <w:p w:rsidR="002922B9" w:rsidRDefault="002922B9" w:rsidP="00CD0DF3">
      <w:pPr>
        <w:pStyle w:val="ECHRPara"/>
      </w:pPr>
      <w:r>
        <w:t>35</w:t>
      </w:r>
      <w:r w:rsidRPr="00D179B1">
        <w:t>.  Le Gouvernement souligne que la ville de Sarno a environ 31</w:t>
      </w:r>
      <w:r>
        <w:t> </w:t>
      </w:r>
      <w:r w:rsidRPr="00D179B1">
        <w:t>000</w:t>
      </w:r>
      <w:r>
        <w:t> </w:t>
      </w:r>
      <w:r w:rsidRPr="00D179B1">
        <w:t>habitants. Dans ce milieu restreint, les faits signalés faisaient déjà l</w:t>
      </w:r>
      <w:r w:rsidR="00CA3210">
        <w:t>’</w:t>
      </w:r>
      <w:r w:rsidRPr="00D179B1">
        <w:t>objet de quelques rumeurs et devaient être éclaircis. Il était donc nécessaire d</w:t>
      </w:r>
      <w:r w:rsidR="00CA3210">
        <w:t>’</w:t>
      </w:r>
      <w:r w:rsidRPr="00D179B1">
        <w:t>informer la population qu</w:t>
      </w:r>
      <w:r w:rsidR="00CA3210">
        <w:t>’</w:t>
      </w:r>
      <w:r w:rsidRPr="00D179B1">
        <w:t xml:space="preserve">une enquête était en cours. </w:t>
      </w:r>
      <w:r>
        <w:t>À</w:t>
      </w:r>
      <w:r w:rsidRPr="00652475">
        <w:t xml:space="preserve"> la lumière de ce qui précède, le Gouvernement estime que toute ingérence dans la vie privée du requérant était strictement limitée aux faits objet de l</w:t>
      </w:r>
      <w:r w:rsidR="00CA3210">
        <w:t>’</w:t>
      </w:r>
      <w:r w:rsidRPr="00652475">
        <w:t>enquête et était n</w:t>
      </w:r>
      <w:r w:rsidRPr="00D179B1">
        <w:t>écessaire à la défense de l</w:t>
      </w:r>
      <w:r w:rsidR="00CA3210">
        <w:t>’</w:t>
      </w:r>
      <w:r w:rsidRPr="00D179B1">
        <w:t>ordre et à la prévention des infractions pénales.</w:t>
      </w:r>
    </w:p>
    <w:p w:rsidR="002922B9" w:rsidRPr="00D179B1" w:rsidRDefault="002922B9" w:rsidP="00CD0DF3">
      <w:pPr>
        <w:pStyle w:val="ECHRHeading3"/>
      </w:pPr>
      <w:r w:rsidRPr="00D179B1">
        <w:t>2.  Appréciation de la Cour</w:t>
      </w:r>
    </w:p>
    <w:p w:rsidR="002922B9" w:rsidRDefault="002922B9" w:rsidP="00CD0DF3">
      <w:pPr>
        <w:pStyle w:val="JuParaLast"/>
        <w:spacing w:before="0"/>
        <w:rPr>
          <w:rStyle w:val="sb8d990e2"/>
        </w:rPr>
      </w:pPr>
      <w:r>
        <w:t>36</w:t>
      </w:r>
      <w:r w:rsidRPr="00D179B1">
        <w:t xml:space="preserve">.  La Cour </w:t>
      </w:r>
      <w:r>
        <w:t>doit d</w:t>
      </w:r>
      <w:r w:rsidR="00CA3210">
        <w:t>’</w:t>
      </w:r>
      <w:r>
        <w:t>abord déterminer si le requérant a épuisé les recours qui lui étaient ouverts en droit italien. A</w:t>
      </w:r>
      <w:r w:rsidRPr="00ED1C85">
        <w:rPr>
          <w:rStyle w:val="sb8d990e2"/>
        </w:rPr>
        <w:t>ux termes de l</w:t>
      </w:r>
      <w:r w:rsidR="00CA3210">
        <w:rPr>
          <w:rStyle w:val="sb8d990e2"/>
        </w:rPr>
        <w:t>’</w:t>
      </w:r>
      <w:r w:rsidRPr="00ED1C85">
        <w:rPr>
          <w:rStyle w:val="sb8d990e2"/>
        </w:rPr>
        <w:t>article 35 § 1 de la</w:t>
      </w:r>
      <w:r>
        <w:rPr>
          <w:rStyle w:val="sb8d990e2"/>
        </w:rPr>
        <w:t> </w:t>
      </w:r>
      <w:r w:rsidRPr="00ED1C85">
        <w:rPr>
          <w:rStyle w:val="sb8d990e2"/>
        </w:rPr>
        <w:t xml:space="preserve">Convention, </w:t>
      </w:r>
      <w:r>
        <w:rPr>
          <w:rStyle w:val="sb8d990e2"/>
        </w:rPr>
        <w:t>en effet, la Cour</w:t>
      </w:r>
      <w:r w:rsidRPr="00ED1C85">
        <w:rPr>
          <w:rStyle w:val="sb8d990e2"/>
        </w:rPr>
        <w:t xml:space="preserve"> ne peut être saisie qu</w:t>
      </w:r>
      <w:r w:rsidR="00CA3210">
        <w:rPr>
          <w:rStyle w:val="sb8d990e2"/>
        </w:rPr>
        <w:t>’</w:t>
      </w:r>
      <w:r w:rsidRPr="00ED1C85">
        <w:rPr>
          <w:rStyle w:val="sb8d990e2"/>
        </w:rPr>
        <w:t>après l</w:t>
      </w:r>
      <w:r w:rsidR="00CA3210">
        <w:rPr>
          <w:rStyle w:val="sb8d990e2"/>
        </w:rPr>
        <w:t>’</w:t>
      </w:r>
      <w:r w:rsidRPr="00ED1C85">
        <w:rPr>
          <w:rStyle w:val="sb8d990e2"/>
        </w:rPr>
        <w:t>épuisement des voies de recours internes. La finalité de cette règle est de ménager aux États contractants l</w:t>
      </w:r>
      <w:r w:rsidR="00CA3210">
        <w:rPr>
          <w:rStyle w:val="sb8d990e2"/>
        </w:rPr>
        <w:t>’</w:t>
      </w:r>
      <w:r w:rsidRPr="00ED1C85">
        <w:rPr>
          <w:rStyle w:val="sb8d990e2"/>
        </w:rPr>
        <w:t>occasion de prévenir ou de redresser les violations alléguées contre eux avant que la Cour n</w:t>
      </w:r>
      <w:r w:rsidR="00CA3210">
        <w:rPr>
          <w:rStyle w:val="sb8d990e2"/>
        </w:rPr>
        <w:t>’</w:t>
      </w:r>
      <w:r w:rsidRPr="00ED1C85">
        <w:rPr>
          <w:rStyle w:val="sb8d990e2"/>
        </w:rPr>
        <w:t>en soit saisie (voir, parmi d</w:t>
      </w:r>
      <w:r w:rsidR="00CA3210">
        <w:rPr>
          <w:rStyle w:val="sb8d990e2"/>
        </w:rPr>
        <w:t>’</w:t>
      </w:r>
      <w:r w:rsidRPr="00ED1C85">
        <w:rPr>
          <w:rStyle w:val="sb8d990e2"/>
        </w:rPr>
        <w:t>autres,</w:t>
      </w:r>
      <w:r w:rsidRPr="00ED1C85">
        <w:rPr>
          <w:rStyle w:val="s6b621b36"/>
        </w:rPr>
        <w:t xml:space="preserve"> </w:t>
      </w:r>
      <w:r w:rsidRPr="003A495D">
        <w:rPr>
          <w:rStyle w:val="s6b621b36"/>
          <w:i/>
        </w:rPr>
        <w:t>Mifsud c.</w:t>
      </w:r>
      <w:r>
        <w:rPr>
          <w:rStyle w:val="s6b621b36"/>
          <w:i/>
        </w:rPr>
        <w:t> </w:t>
      </w:r>
      <w:r w:rsidRPr="003A495D">
        <w:rPr>
          <w:rStyle w:val="s6b621b36"/>
          <w:i/>
        </w:rPr>
        <w:t>France</w:t>
      </w:r>
      <w:r w:rsidRPr="00ED1C85">
        <w:rPr>
          <w:rStyle w:val="sb8d990e2"/>
        </w:rPr>
        <w:t xml:space="preserve"> (déc.) [GC], n</w:t>
      </w:r>
      <w:r w:rsidRPr="002922B9">
        <w:rPr>
          <w:rStyle w:val="sea881cdf"/>
          <w:vertAlign w:val="superscript"/>
        </w:rPr>
        <w:t>o</w:t>
      </w:r>
      <w:r>
        <w:rPr>
          <w:rStyle w:val="sea881cdf"/>
        </w:rPr>
        <w:t xml:space="preserve"> 57220/00</w:t>
      </w:r>
      <w:r w:rsidRPr="00ED1C85">
        <w:rPr>
          <w:rStyle w:val="sb8d990e2"/>
        </w:rPr>
        <w:t>, §</w:t>
      </w:r>
      <w:r>
        <w:rPr>
          <w:rStyle w:val="sb8d990e2"/>
        </w:rPr>
        <w:t> </w:t>
      </w:r>
      <w:r w:rsidRPr="00ED1C85">
        <w:rPr>
          <w:rStyle w:val="sb8d990e2"/>
        </w:rPr>
        <w:t>15, CEDH 2002</w:t>
      </w:r>
      <w:r w:rsidRPr="00ED1C85">
        <w:rPr>
          <w:rStyle w:val="sb8d990e2"/>
        </w:rPr>
        <w:noBreakHyphen/>
        <w:t xml:space="preserve">VIII, et </w:t>
      </w:r>
      <w:r w:rsidRPr="003A495D">
        <w:rPr>
          <w:rStyle w:val="s6b621b36"/>
          <w:i/>
        </w:rPr>
        <w:t>Simons c.</w:t>
      </w:r>
      <w:r>
        <w:rPr>
          <w:rStyle w:val="s6b621b36"/>
          <w:i/>
        </w:rPr>
        <w:t> </w:t>
      </w:r>
      <w:r w:rsidRPr="003A495D">
        <w:rPr>
          <w:rStyle w:val="s6b621b36"/>
          <w:i/>
        </w:rPr>
        <w:t>Belgique</w:t>
      </w:r>
      <w:r w:rsidRPr="00ED1C85">
        <w:rPr>
          <w:rStyle w:val="sb8d990e2"/>
        </w:rPr>
        <w:t xml:space="preserve"> (déc.), n</w:t>
      </w:r>
      <w:r w:rsidRPr="002922B9">
        <w:rPr>
          <w:rStyle w:val="sb8d990e2"/>
          <w:vertAlign w:val="superscript"/>
        </w:rPr>
        <w:t>o</w:t>
      </w:r>
      <w:r>
        <w:rPr>
          <w:rStyle w:val="sb8d990e2"/>
        </w:rPr>
        <w:t xml:space="preserve"> 71407/10</w:t>
      </w:r>
      <w:r w:rsidRPr="00ED1C85">
        <w:rPr>
          <w:rStyle w:val="sb8d990e2"/>
        </w:rPr>
        <w:t>, § 23, 28</w:t>
      </w:r>
      <w:r>
        <w:rPr>
          <w:rStyle w:val="sb8d990e2"/>
        </w:rPr>
        <w:t> </w:t>
      </w:r>
      <w:r w:rsidRPr="00ED1C85">
        <w:rPr>
          <w:rStyle w:val="sb8d990e2"/>
        </w:rPr>
        <w:t>août 2012).</w:t>
      </w:r>
    </w:p>
    <w:p w:rsidR="002922B9" w:rsidRDefault="002922B9" w:rsidP="00CD0DF3">
      <w:pPr>
        <w:pStyle w:val="JuParaLast"/>
        <w:spacing w:before="0"/>
        <w:rPr>
          <w:rStyle w:val="sb8d990e2"/>
        </w:rPr>
      </w:pPr>
      <w:r>
        <w:rPr>
          <w:rStyle w:val="sb8d990e2"/>
        </w:rPr>
        <w:t>37.  </w:t>
      </w:r>
      <w:r w:rsidRPr="00ED1C85">
        <w:rPr>
          <w:rStyle w:val="sb8d990e2"/>
        </w:rPr>
        <w:t>L</w:t>
      </w:r>
      <w:r w:rsidR="00CA3210">
        <w:rPr>
          <w:rStyle w:val="sb8d990e2"/>
        </w:rPr>
        <w:t>’</w:t>
      </w:r>
      <w:r w:rsidRPr="00ED1C85">
        <w:rPr>
          <w:rStyle w:val="sb8d990e2"/>
        </w:rPr>
        <w:t>article 35 § 1 de la Convention ne prescrit cependant que l</w:t>
      </w:r>
      <w:r w:rsidR="00CA3210">
        <w:rPr>
          <w:rStyle w:val="sb8d990e2"/>
        </w:rPr>
        <w:t>’</w:t>
      </w:r>
      <w:r w:rsidRPr="00ED1C85">
        <w:rPr>
          <w:rStyle w:val="sb8d990e2"/>
        </w:rPr>
        <w:t>épuisement des recours à la fois relatifs aux violations incriminées, disponibles et adéquats. Un recours est effectif lorsqu</w:t>
      </w:r>
      <w:r w:rsidR="00CA3210">
        <w:rPr>
          <w:rStyle w:val="sb8d990e2"/>
        </w:rPr>
        <w:t>’</w:t>
      </w:r>
      <w:r w:rsidRPr="00ED1C85">
        <w:rPr>
          <w:rStyle w:val="sb8d990e2"/>
        </w:rPr>
        <w:t>il est disponible tant en théorie qu</w:t>
      </w:r>
      <w:r w:rsidR="00CA3210">
        <w:rPr>
          <w:rStyle w:val="sb8d990e2"/>
        </w:rPr>
        <w:t>’</w:t>
      </w:r>
      <w:r w:rsidRPr="00ED1C85">
        <w:rPr>
          <w:rStyle w:val="sb8d990e2"/>
        </w:rPr>
        <w:t>en pratique à l</w:t>
      </w:r>
      <w:r w:rsidR="00CA3210">
        <w:rPr>
          <w:rStyle w:val="sb8d990e2"/>
        </w:rPr>
        <w:t>’</w:t>
      </w:r>
      <w:r w:rsidRPr="00ED1C85">
        <w:rPr>
          <w:rStyle w:val="sb8d990e2"/>
        </w:rPr>
        <w:t>époque des faits, c</w:t>
      </w:r>
      <w:r w:rsidR="00CA3210">
        <w:rPr>
          <w:rStyle w:val="sb8d990e2"/>
        </w:rPr>
        <w:t>’</w:t>
      </w:r>
      <w:r w:rsidRPr="00ED1C85">
        <w:rPr>
          <w:rStyle w:val="sb8d990e2"/>
        </w:rPr>
        <w:t>est-à-dire lorsqu</w:t>
      </w:r>
      <w:r w:rsidR="00CA3210">
        <w:rPr>
          <w:rStyle w:val="sb8d990e2"/>
        </w:rPr>
        <w:t>’</w:t>
      </w:r>
      <w:r w:rsidRPr="00ED1C85">
        <w:rPr>
          <w:rStyle w:val="sb8d990e2"/>
        </w:rPr>
        <w:t>il est accessible, susceptible d</w:t>
      </w:r>
      <w:r w:rsidR="00CA3210">
        <w:rPr>
          <w:rStyle w:val="sb8d990e2"/>
        </w:rPr>
        <w:t>’</w:t>
      </w:r>
      <w:r w:rsidRPr="00ED1C85">
        <w:rPr>
          <w:rStyle w:val="sb8d990e2"/>
        </w:rPr>
        <w:t xml:space="preserve">offrir au requérant le redressement de ses griefs et présente des perspectives raisonnables de succès. </w:t>
      </w:r>
      <w:r>
        <w:rPr>
          <w:rStyle w:val="sb8d990e2"/>
        </w:rPr>
        <w:t>À</w:t>
      </w:r>
      <w:r w:rsidRPr="00ED1C85">
        <w:rPr>
          <w:rStyle w:val="sb8d990e2"/>
        </w:rPr>
        <w:t xml:space="preserve"> cet égard, le simple fait de nourrir des doutes quant aux perspectives de succès d</w:t>
      </w:r>
      <w:r w:rsidR="00CA3210">
        <w:rPr>
          <w:rStyle w:val="sb8d990e2"/>
        </w:rPr>
        <w:t>’</w:t>
      </w:r>
      <w:r w:rsidRPr="00ED1C85">
        <w:rPr>
          <w:rStyle w:val="sb8d990e2"/>
        </w:rPr>
        <w:t>un recours donné qui n</w:t>
      </w:r>
      <w:r w:rsidR="00CA3210">
        <w:rPr>
          <w:rStyle w:val="sb8d990e2"/>
        </w:rPr>
        <w:t>’</w:t>
      </w:r>
      <w:r w:rsidRPr="00ED1C85">
        <w:rPr>
          <w:rStyle w:val="sb8d990e2"/>
        </w:rPr>
        <w:t>est pas de toute évidence voué à l</w:t>
      </w:r>
      <w:r w:rsidR="00CA3210">
        <w:rPr>
          <w:rStyle w:val="sb8d990e2"/>
        </w:rPr>
        <w:t>’</w:t>
      </w:r>
      <w:r w:rsidRPr="00ED1C85">
        <w:rPr>
          <w:rStyle w:val="sb8d990e2"/>
        </w:rPr>
        <w:t>échec ne constitue pas une raison valable pour justifier la non-utilisation de recours internes (</w:t>
      </w:r>
      <w:r w:rsidRPr="003A495D">
        <w:rPr>
          <w:rStyle w:val="s6b621b36"/>
          <w:i/>
        </w:rPr>
        <w:t>Brusco c. Italie</w:t>
      </w:r>
      <w:r w:rsidRPr="00ED1C85">
        <w:rPr>
          <w:rStyle w:val="sb8d990e2"/>
        </w:rPr>
        <w:t xml:space="preserve"> (déc.), n</w:t>
      </w:r>
      <w:r w:rsidRPr="002922B9">
        <w:rPr>
          <w:rStyle w:val="sb8d990e2"/>
          <w:vertAlign w:val="superscript"/>
        </w:rPr>
        <w:t>o</w:t>
      </w:r>
      <w:r>
        <w:rPr>
          <w:rStyle w:val="sb8d990e2"/>
        </w:rPr>
        <w:t xml:space="preserve"> 69789/01</w:t>
      </w:r>
      <w:r w:rsidRPr="00ED1C85">
        <w:rPr>
          <w:rStyle w:val="sb8d990e2"/>
        </w:rPr>
        <w:t>, CEDH 2001</w:t>
      </w:r>
      <w:r w:rsidRPr="00ED1C85">
        <w:rPr>
          <w:rStyle w:val="sb8d990e2"/>
        </w:rPr>
        <w:noBreakHyphen/>
        <w:t xml:space="preserve">IX ; </w:t>
      </w:r>
      <w:r w:rsidRPr="003A495D">
        <w:rPr>
          <w:rStyle w:val="s6b621b36"/>
          <w:i/>
        </w:rPr>
        <w:t>Sardinas Albo c. Italie</w:t>
      </w:r>
      <w:r w:rsidRPr="00ED1C85">
        <w:rPr>
          <w:rStyle w:val="s6b621b36"/>
        </w:rPr>
        <w:t xml:space="preserve"> </w:t>
      </w:r>
      <w:r w:rsidRPr="00ED1C85">
        <w:rPr>
          <w:rStyle w:val="sb8d990e2"/>
        </w:rPr>
        <w:t>(déc.), n</w:t>
      </w:r>
      <w:r w:rsidRPr="002922B9">
        <w:rPr>
          <w:rStyle w:val="sb8d990e2"/>
          <w:vertAlign w:val="superscript"/>
        </w:rPr>
        <w:t>o</w:t>
      </w:r>
      <w:r>
        <w:rPr>
          <w:rStyle w:val="sb8d990e2"/>
        </w:rPr>
        <w:t> 56271/00</w:t>
      </w:r>
      <w:r w:rsidRPr="00ED1C85">
        <w:rPr>
          <w:rStyle w:val="sb8d990e2"/>
        </w:rPr>
        <w:t>, CEDH 2004</w:t>
      </w:r>
      <w:r w:rsidRPr="00ED1C85">
        <w:rPr>
          <w:rStyle w:val="sb8d990e2"/>
        </w:rPr>
        <w:noBreakHyphen/>
        <w:t xml:space="preserve">I ; </w:t>
      </w:r>
      <w:r w:rsidRPr="003A495D">
        <w:rPr>
          <w:rStyle w:val="s6b621b36"/>
          <w:i/>
        </w:rPr>
        <w:t>Sejdovic c. Italie</w:t>
      </w:r>
      <w:r w:rsidRPr="00ED1C85">
        <w:rPr>
          <w:rStyle w:val="s6b621b36"/>
        </w:rPr>
        <w:t xml:space="preserve"> </w:t>
      </w:r>
      <w:r w:rsidRPr="00ED1C85">
        <w:rPr>
          <w:rStyle w:val="sb8d990e2"/>
        </w:rPr>
        <w:t>[GC], n</w:t>
      </w:r>
      <w:r w:rsidRPr="002922B9">
        <w:rPr>
          <w:rStyle w:val="sea881cdf"/>
          <w:vertAlign w:val="superscript"/>
        </w:rPr>
        <w:t>o</w:t>
      </w:r>
      <w:r>
        <w:rPr>
          <w:rStyle w:val="sea881cdf"/>
        </w:rPr>
        <w:t xml:space="preserve"> 56581/00</w:t>
      </w:r>
      <w:r w:rsidRPr="00ED1C85">
        <w:rPr>
          <w:rStyle w:val="sb8d990e2"/>
        </w:rPr>
        <w:t>, §</w:t>
      </w:r>
      <w:r>
        <w:rPr>
          <w:rStyle w:val="sb8d990e2"/>
        </w:rPr>
        <w:t> </w:t>
      </w:r>
      <w:r w:rsidRPr="00ED1C85">
        <w:rPr>
          <w:rStyle w:val="sb8d990e2"/>
        </w:rPr>
        <w:t>46, CEDH</w:t>
      </w:r>
      <w:r>
        <w:rPr>
          <w:rStyle w:val="sb8d990e2"/>
        </w:rPr>
        <w:t> </w:t>
      </w:r>
      <w:r w:rsidRPr="00ED1C85">
        <w:rPr>
          <w:rStyle w:val="sb8d990e2"/>
        </w:rPr>
        <w:t>2006</w:t>
      </w:r>
      <w:r w:rsidRPr="00ED1C85">
        <w:rPr>
          <w:rStyle w:val="sb8d990e2"/>
        </w:rPr>
        <w:noBreakHyphen/>
        <w:t xml:space="preserve">II ; et </w:t>
      </w:r>
      <w:r w:rsidRPr="003A495D">
        <w:rPr>
          <w:rStyle w:val="s6b621b36"/>
          <w:i/>
        </w:rPr>
        <w:t>Alberto Eugénio da Conceicao c. Portugal</w:t>
      </w:r>
      <w:r w:rsidRPr="00ED1C85">
        <w:rPr>
          <w:rStyle w:val="sb8d990e2"/>
        </w:rPr>
        <w:t xml:space="preserve"> (déc.), n</w:t>
      </w:r>
      <w:r w:rsidRPr="002922B9">
        <w:rPr>
          <w:rStyle w:val="sb8d990e2"/>
          <w:vertAlign w:val="superscript"/>
        </w:rPr>
        <w:t>o</w:t>
      </w:r>
      <w:r>
        <w:rPr>
          <w:rStyle w:val="sb8d990e2"/>
        </w:rPr>
        <w:t> 74044/11</w:t>
      </w:r>
      <w:r w:rsidRPr="00ED1C85">
        <w:rPr>
          <w:rStyle w:val="sb8d990e2"/>
        </w:rPr>
        <w:t>, 29 mai 2012).</w:t>
      </w:r>
    </w:p>
    <w:p w:rsidR="002922B9" w:rsidRPr="00D179B1" w:rsidRDefault="002922B9" w:rsidP="00CD0DF3">
      <w:pPr>
        <w:pStyle w:val="JuParaLast"/>
        <w:spacing w:before="0"/>
        <w:rPr>
          <w:rStyle w:val="sb8d990e2"/>
        </w:rPr>
      </w:pPr>
      <w:r>
        <w:t>38.  La Cour observe qu</w:t>
      </w:r>
      <w:r w:rsidR="00CA3210">
        <w:t>’</w:t>
      </w:r>
      <w:r>
        <w:t>en l</w:t>
      </w:r>
      <w:r w:rsidR="00CA3210">
        <w:t>’</w:t>
      </w:r>
      <w:r>
        <w:t>espèce, le grief du requérant porte, pour l</w:t>
      </w:r>
      <w:r w:rsidR="00CA3210">
        <w:t>’</w:t>
      </w:r>
      <w:r>
        <w:t>essentiel, sur</w:t>
      </w:r>
      <w:r w:rsidRPr="00D179B1">
        <w:t xml:space="preserve"> la publication </w:t>
      </w:r>
      <w:r>
        <w:t>dans</w:t>
      </w:r>
      <w:r w:rsidRPr="00652475">
        <w:t xml:space="preserve"> la presse </w:t>
      </w:r>
      <w:r>
        <w:t>d</w:t>
      </w:r>
      <w:r w:rsidR="00CA3210">
        <w:t>’</w:t>
      </w:r>
      <w:r w:rsidRPr="00652475">
        <w:t xml:space="preserve">informations concernant les enquêtes menées contre </w:t>
      </w:r>
      <w:r>
        <w:t>lui,</w:t>
      </w:r>
      <w:r w:rsidRPr="00652475">
        <w:t xml:space="preserve"> </w:t>
      </w:r>
      <w:r>
        <w:t>accompagnées</w:t>
      </w:r>
      <w:r w:rsidRPr="00652475">
        <w:t xml:space="preserve"> de sa photographie</w:t>
      </w:r>
      <w:r>
        <w:t> : y voyant</w:t>
      </w:r>
      <w:r w:rsidRPr="00652475">
        <w:t xml:space="preserve"> une ingérence dans </w:t>
      </w:r>
      <w:r>
        <w:t>son</w:t>
      </w:r>
      <w:r w:rsidRPr="00652475">
        <w:t xml:space="preserve"> droit au respect de sa vie privée</w:t>
      </w:r>
      <w:r>
        <w:t>, l</w:t>
      </w:r>
      <w:r w:rsidR="00CA3210">
        <w:t>’</w:t>
      </w:r>
      <w:r>
        <w:t>intéressé estime que cette ingérence n</w:t>
      </w:r>
      <w:r w:rsidR="00CA3210">
        <w:t>’</w:t>
      </w:r>
      <w:r>
        <w:t>a pas eu lieu</w:t>
      </w:r>
      <w:r w:rsidRPr="00652475">
        <w:rPr>
          <w:rStyle w:val="sb8d990e2"/>
        </w:rPr>
        <w:t xml:space="preserve"> </w:t>
      </w:r>
      <w:r>
        <w:rPr>
          <w:rStyle w:val="sb8d990e2"/>
        </w:rPr>
        <w:t xml:space="preserve">dans le respect du </w:t>
      </w:r>
      <w:r w:rsidRPr="00652475">
        <w:rPr>
          <w:rStyle w:val="sb8d990e2"/>
        </w:rPr>
        <w:t>droit interne</w:t>
      </w:r>
      <w:r>
        <w:t xml:space="preserve"> et n</w:t>
      </w:r>
      <w:r w:rsidR="00CA3210">
        <w:t>’</w:t>
      </w:r>
      <w:r>
        <w:t>était pas</w:t>
      </w:r>
      <w:r>
        <w:rPr>
          <w:rStyle w:val="sb8d990e2"/>
        </w:rPr>
        <w:t xml:space="preserve"> « nécessaire dans une société démocratique »</w:t>
      </w:r>
      <w:r w:rsidRPr="00D179B1">
        <w:rPr>
          <w:rStyle w:val="sb8d990e2"/>
        </w:rPr>
        <w:t>.</w:t>
      </w:r>
    </w:p>
    <w:p w:rsidR="002922B9" w:rsidRDefault="002922B9" w:rsidP="00CD0DF3">
      <w:pPr>
        <w:pStyle w:val="ECHRPara"/>
      </w:pPr>
      <w:r>
        <w:rPr>
          <w:rStyle w:val="sb8d990e2"/>
        </w:rPr>
        <w:t>39</w:t>
      </w:r>
      <w:r w:rsidRPr="00D179B1">
        <w:rPr>
          <w:rStyle w:val="sb8d990e2"/>
        </w:rPr>
        <w:t>.  </w:t>
      </w:r>
      <w:r>
        <w:rPr>
          <w:rStyle w:val="sb8d990e2"/>
        </w:rPr>
        <w:t>Or, le requérant a entamé des procédures civiles en diffamation à l</w:t>
      </w:r>
      <w:r w:rsidR="00CA3210">
        <w:rPr>
          <w:rStyle w:val="sb8d990e2"/>
        </w:rPr>
        <w:t>’</w:t>
      </w:r>
      <w:r>
        <w:rPr>
          <w:rStyle w:val="sb8d990e2"/>
        </w:rPr>
        <w:t>encontre de</w:t>
      </w:r>
      <w:r w:rsidRPr="00D179B1">
        <w:rPr>
          <w:rStyle w:val="sb8d990e2"/>
        </w:rPr>
        <w:t xml:space="preserve"> </w:t>
      </w:r>
      <w:r>
        <w:rPr>
          <w:rStyle w:val="sb8d990e2"/>
        </w:rPr>
        <w:t>deux des journaux qu</w:t>
      </w:r>
      <w:r w:rsidR="00CA3210">
        <w:rPr>
          <w:rStyle w:val="sb8d990e2"/>
        </w:rPr>
        <w:t>’</w:t>
      </w:r>
      <w:r>
        <w:rPr>
          <w:rStyle w:val="sb8d990e2"/>
        </w:rPr>
        <w:t>il estimait responsables de la divulgation d</w:t>
      </w:r>
      <w:r w:rsidR="00CA3210">
        <w:rPr>
          <w:rStyle w:val="sb8d990e2"/>
        </w:rPr>
        <w:t>’</w:t>
      </w:r>
      <w:r>
        <w:rPr>
          <w:rStyle w:val="sb8d990e2"/>
        </w:rPr>
        <w:t xml:space="preserve">informations portant atteinte à sa réputation, à savoir </w:t>
      </w:r>
      <w:r>
        <w:rPr>
          <w:i/>
        </w:rPr>
        <w:t xml:space="preserve">Il Salernitano </w:t>
      </w:r>
      <w:r>
        <w:t xml:space="preserve">et </w:t>
      </w:r>
      <w:r>
        <w:rPr>
          <w:i/>
        </w:rPr>
        <w:t>Cronache del Mezzogiorno</w:t>
      </w:r>
      <w:r>
        <w:t>. Dans le cadre de ces procédures, l</w:t>
      </w:r>
      <w:r w:rsidR="00CA3210">
        <w:t>’</w:t>
      </w:r>
      <w:r>
        <w:t>intéressé a eu et aura encore le loisir de soutenir que les articles le concernant violaient le secret de l</w:t>
      </w:r>
      <w:r w:rsidR="00CA3210">
        <w:t>’</w:t>
      </w:r>
      <w:r>
        <w:t>instruction et engageaient la responsabilité professionnelle des journalistes concernés, faisant ainsi valoir des griefs similaires à ceux qu</w:t>
      </w:r>
      <w:r w:rsidR="00CA3210">
        <w:t>’</w:t>
      </w:r>
      <w:r>
        <w:t>il a portés devant la Cour. En effet, les procédures en question étaient, à la date des dernières informations (18 novembre 2013) encore pendantes en première instance, et les prochaines audiences sont fixées, respectivement au 12 juin 2014 et au 18 février 2015 (paragraphe 18 ci-dessus).</w:t>
      </w:r>
    </w:p>
    <w:p w:rsidR="002922B9" w:rsidRPr="00ED1C85" w:rsidRDefault="002922B9" w:rsidP="00CD0DF3">
      <w:pPr>
        <w:pStyle w:val="ECHRPara"/>
        <w:rPr>
          <w:rStyle w:val="sb8d990e2"/>
        </w:rPr>
      </w:pPr>
      <w:r>
        <w:t>40.  Il s</w:t>
      </w:r>
      <w:r w:rsidR="00CA3210">
        <w:t>’</w:t>
      </w:r>
      <w:r>
        <w:t>ensuit que la partie du grief concernant la publication et la divulgation par la presse d</w:t>
      </w:r>
      <w:r w:rsidR="00CA3210">
        <w:t>’</w:t>
      </w:r>
      <w:r>
        <w:t>informations prétendument couvertes par le secret de l</w:t>
      </w:r>
      <w:r w:rsidR="00CA3210">
        <w:t>’</w:t>
      </w:r>
      <w:r>
        <w:t>instruction et portant atteinte à l</w:t>
      </w:r>
      <w:r w:rsidR="00CA3210">
        <w:t>’</w:t>
      </w:r>
      <w:r>
        <w:t>honorabilité du requérant est prématurée.</w:t>
      </w:r>
    </w:p>
    <w:p w:rsidR="002922B9" w:rsidRPr="00D179B1" w:rsidRDefault="002922B9" w:rsidP="00CD0DF3">
      <w:pPr>
        <w:pStyle w:val="ECHRPara"/>
        <w:rPr>
          <w:rStyle w:val="sb8d990e2"/>
        </w:rPr>
      </w:pPr>
      <w:r>
        <w:rPr>
          <w:rStyle w:val="sb8d990e2"/>
        </w:rPr>
        <w:t>41</w:t>
      </w:r>
      <w:r w:rsidRPr="00D179B1">
        <w:rPr>
          <w:rStyle w:val="sb8d990e2"/>
        </w:rPr>
        <w:t>.  Enfin, dans la mesure où le requérant affirme qu</w:t>
      </w:r>
      <w:r w:rsidR="00CA3210">
        <w:rPr>
          <w:rStyle w:val="sb8d990e2"/>
        </w:rPr>
        <w:t>’</w:t>
      </w:r>
      <w:r w:rsidRPr="00D179B1">
        <w:rPr>
          <w:rStyle w:val="sb8d990e2"/>
        </w:rPr>
        <w:t>il n</w:t>
      </w:r>
      <w:r w:rsidR="00CA3210">
        <w:rPr>
          <w:rStyle w:val="sb8d990e2"/>
        </w:rPr>
        <w:t>’</w:t>
      </w:r>
      <w:r w:rsidRPr="00D179B1">
        <w:rPr>
          <w:rStyle w:val="sb8d990e2"/>
        </w:rPr>
        <w:t>aurait pas dû faire l</w:t>
      </w:r>
      <w:r w:rsidR="00CA3210">
        <w:rPr>
          <w:rStyle w:val="sb8d990e2"/>
        </w:rPr>
        <w:t>’</w:t>
      </w:r>
      <w:r w:rsidRPr="00D179B1">
        <w:rPr>
          <w:rStyle w:val="sb8d990e2"/>
        </w:rPr>
        <w:t>objet d</w:t>
      </w:r>
      <w:r w:rsidR="00CA3210">
        <w:rPr>
          <w:rStyle w:val="sb8d990e2"/>
        </w:rPr>
        <w:t>’</w:t>
      </w:r>
      <w:r w:rsidRPr="00D179B1">
        <w:rPr>
          <w:rStyle w:val="sb8d990e2"/>
        </w:rPr>
        <w:t>accusations (paragraphe</w:t>
      </w:r>
      <w:r>
        <w:rPr>
          <w:rStyle w:val="sb8d990e2"/>
        </w:rPr>
        <w:t> </w:t>
      </w:r>
      <w:r w:rsidRPr="00D179B1">
        <w:rPr>
          <w:rStyle w:val="sb8d990e2"/>
        </w:rPr>
        <w:t>3</w:t>
      </w:r>
      <w:r>
        <w:rPr>
          <w:rStyle w:val="sb8d990e2"/>
        </w:rPr>
        <w:t>3</w:t>
      </w:r>
      <w:r w:rsidRPr="00D179B1">
        <w:rPr>
          <w:rStyle w:val="sb8d990e2"/>
        </w:rPr>
        <w:t xml:space="preserve"> ci-dessus), </w:t>
      </w:r>
      <w:r w:rsidRPr="00D179B1">
        <w:rPr>
          <w:rStyle w:val="s23c0e8e7"/>
        </w:rPr>
        <w:t>la Cour considère que l</w:t>
      </w:r>
      <w:r w:rsidR="00CA3210">
        <w:rPr>
          <w:rStyle w:val="s23c0e8e7"/>
        </w:rPr>
        <w:t>’</w:t>
      </w:r>
      <w:r w:rsidRPr="00D179B1">
        <w:rPr>
          <w:rStyle w:val="s23c0e8e7"/>
        </w:rPr>
        <w:t>opportunité d</w:t>
      </w:r>
      <w:r w:rsidR="00CA3210">
        <w:rPr>
          <w:rStyle w:val="s23c0e8e7"/>
        </w:rPr>
        <w:t>’</w:t>
      </w:r>
      <w:r w:rsidRPr="00D179B1">
        <w:rPr>
          <w:rStyle w:val="s23c0e8e7"/>
        </w:rPr>
        <w:t xml:space="preserve">ouvrir </w:t>
      </w:r>
      <w:r w:rsidRPr="00D179B1">
        <w:t xml:space="preserve">des poursuites pénales échappe à son contrôle (voir, </w:t>
      </w:r>
      <w:r w:rsidRPr="00D179B1">
        <w:rPr>
          <w:i/>
        </w:rPr>
        <w:t>mutatis mutandis</w:t>
      </w:r>
      <w:r w:rsidRPr="00D179B1">
        <w:t xml:space="preserve">, </w:t>
      </w:r>
      <w:r w:rsidRPr="00D179B1">
        <w:rPr>
          <w:i/>
        </w:rPr>
        <w:t>Asch c. Autriche</w:t>
      </w:r>
      <w:r w:rsidRPr="00D179B1">
        <w:t>, 26 avril 1991, § 28, série A n</w:t>
      </w:r>
      <w:r w:rsidRPr="002922B9">
        <w:rPr>
          <w:vertAlign w:val="superscript"/>
        </w:rPr>
        <w:t>o</w:t>
      </w:r>
      <w:r>
        <w:t> </w:t>
      </w:r>
      <w:r w:rsidRPr="00D179B1">
        <w:t>203). Par ailleurs,</w:t>
      </w:r>
      <w:r w:rsidRPr="00D179B1">
        <w:rPr>
          <w:rStyle w:val="s23c0e8e7"/>
        </w:rPr>
        <w:t xml:space="preserve"> </w:t>
      </w:r>
      <w:r>
        <w:rPr>
          <w:rStyle w:val="s23c0e8e7"/>
        </w:rPr>
        <w:t>toute ouverture de poursuites pénales</w:t>
      </w:r>
      <w:r w:rsidRPr="00D179B1">
        <w:rPr>
          <w:rStyle w:val="s23c0e8e7"/>
        </w:rPr>
        <w:t xml:space="preserve"> </w:t>
      </w:r>
      <w:r>
        <w:rPr>
          <w:rStyle w:val="s23c0e8e7"/>
        </w:rPr>
        <w:t>emporte une certaine ingérence dans</w:t>
      </w:r>
      <w:r w:rsidRPr="00D179B1">
        <w:rPr>
          <w:rStyle w:val="s23c0e8e7"/>
        </w:rPr>
        <w:t xml:space="preserve"> la vie privée et familiale du prévenu.</w:t>
      </w:r>
      <w:r>
        <w:rPr>
          <w:rStyle w:val="s23c0e8e7"/>
        </w:rPr>
        <w:t xml:space="preserve"> L</w:t>
      </w:r>
      <w:r w:rsidRPr="00D179B1">
        <w:rPr>
          <w:rStyle w:val="s23c0e8e7"/>
        </w:rPr>
        <w:t>e requérant n</w:t>
      </w:r>
      <w:r w:rsidR="00CA3210">
        <w:rPr>
          <w:rStyle w:val="s23c0e8e7"/>
        </w:rPr>
        <w:t>’</w:t>
      </w:r>
      <w:r w:rsidRPr="00D179B1">
        <w:rPr>
          <w:rStyle w:val="s23c0e8e7"/>
        </w:rPr>
        <w:t>a pas démontré qu</w:t>
      </w:r>
      <w:r w:rsidR="00CA3210">
        <w:rPr>
          <w:rStyle w:val="s23c0e8e7"/>
        </w:rPr>
        <w:t>’</w:t>
      </w:r>
      <w:r w:rsidRPr="00D179B1">
        <w:rPr>
          <w:rStyle w:val="s23c0e8e7"/>
        </w:rPr>
        <w:t>en l</w:t>
      </w:r>
      <w:r w:rsidR="00CA3210">
        <w:rPr>
          <w:rStyle w:val="s23c0e8e7"/>
        </w:rPr>
        <w:t>’</w:t>
      </w:r>
      <w:r w:rsidRPr="00D179B1">
        <w:rPr>
          <w:rStyle w:val="s23c0e8e7"/>
        </w:rPr>
        <w:t>espèce, les répercussions qu</w:t>
      </w:r>
      <w:r w:rsidR="00CA3210">
        <w:rPr>
          <w:rStyle w:val="s23c0e8e7"/>
        </w:rPr>
        <w:t>’</w:t>
      </w:r>
      <w:r w:rsidRPr="00D179B1">
        <w:rPr>
          <w:rStyle w:val="s23c0e8e7"/>
        </w:rPr>
        <w:t xml:space="preserve">il a subies sont allées au-delà des conséquences normales et inévitables </w:t>
      </w:r>
      <w:r>
        <w:rPr>
          <w:rStyle w:val="s23c0e8e7"/>
        </w:rPr>
        <w:t>de l</w:t>
      </w:r>
      <w:r w:rsidR="00CA3210">
        <w:rPr>
          <w:rStyle w:val="s23c0e8e7"/>
        </w:rPr>
        <w:t>’</w:t>
      </w:r>
      <w:r>
        <w:rPr>
          <w:rStyle w:val="s23c0e8e7"/>
        </w:rPr>
        <w:t xml:space="preserve">engagement de poursuites à son encontre </w:t>
      </w:r>
      <w:r w:rsidRPr="00D179B1">
        <w:rPr>
          <w:rStyle w:val="s23c0e8e7"/>
        </w:rPr>
        <w:t xml:space="preserve">(voir, </w:t>
      </w:r>
      <w:r w:rsidRPr="00D179B1">
        <w:rPr>
          <w:rStyle w:val="s23c0e8e7"/>
          <w:i/>
        </w:rPr>
        <w:t>mutatis mutandis</w:t>
      </w:r>
      <w:r w:rsidRPr="00D179B1">
        <w:rPr>
          <w:rStyle w:val="s23c0e8e7"/>
        </w:rPr>
        <w:t xml:space="preserve">, </w:t>
      </w:r>
      <w:r w:rsidRPr="00D179B1">
        <w:rPr>
          <w:rStyle w:val="s23c0e8e7"/>
          <w:i/>
        </w:rPr>
        <w:t>Craxi c. Italie (n</w:t>
      </w:r>
      <w:r w:rsidRPr="002922B9">
        <w:rPr>
          <w:rStyle w:val="s23c0e8e7"/>
          <w:i/>
          <w:vertAlign w:val="superscript"/>
        </w:rPr>
        <w:t>o</w:t>
      </w:r>
      <w:r>
        <w:rPr>
          <w:rStyle w:val="s23c0e8e7"/>
          <w:i/>
        </w:rPr>
        <w:t> </w:t>
      </w:r>
      <w:r w:rsidRPr="00D179B1">
        <w:rPr>
          <w:rStyle w:val="s23c0e8e7"/>
          <w:i/>
        </w:rPr>
        <w:t xml:space="preserve">3) </w:t>
      </w:r>
      <w:r w:rsidRPr="00D179B1">
        <w:rPr>
          <w:rStyle w:val="s23c0e8e7"/>
        </w:rPr>
        <w:t>(déc.), n</w:t>
      </w:r>
      <w:r w:rsidRPr="002922B9">
        <w:rPr>
          <w:rStyle w:val="s23c0e8e7"/>
          <w:vertAlign w:val="superscript"/>
        </w:rPr>
        <w:t>o</w:t>
      </w:r>
      <w:r>
        <w:rPr>
          <w:rStyle w:val="s23c0e8e7"/>
        </w:rPr>
        <w:t> </w:t>
      </w:r>
      <w:r w:rsidRPr="00D179B1">
        <w:rPr>
          <w:rStyle w:val="s23c0e8e7"/>
        </w:rPr>
        <w:t>63226/00, 14 juin 2001). Dans ces circonstances, la Cour ne saurait déceler aucune apparence de violation des droits garantis par l</w:t>
      </w:r>
      <w:r w:rsidR="00CA3210">
        <w:rPr>
          <w:rStyle w:val="s23c0e8e7"/>
        </w:rPr>
        <w:t>’</w:t>
      </w:r>
      <w:r w:rsidRPr="00D179B1">
        <w:rPr>
          <w:rStyle w:val="s23c0e8e7"/>
        </w:rPr>
        <w:t>article</w:t>
      </w:r>
      <w:r>
        <w:rPr>
          <w:rStyle w:val="s23c0e8e7"/>
        </w:rPr>
        <w:t> </w:t>
      </w:r>
      <w:r w:rsidRPr="00D179B1">
        <w:rPr>
          <w:rStyle w:val="s23c0e8e7"/>
        </w:rPr>
        <w:t>8 de la</w:t>
      </w:r>
      <w:r>
        <w:rPr>
          <w:rStyle w:val="s23c0e8e7"/>
        </w:rPr>
        <w:t> </w:t>
      </w:r>
      <w:r w:rsidRPr="00D179B1">
        <w:rPr>
          <w:rStyle w:val="s23c0e8e7"/>
        </w:rPr>
        <w:t>Convention</w:t>
      </w:r>
      <w:r>
        <w:rPr>
          <w:rStyle w:val="s23c0e8e7"/>
        </w:rPr>
        <w:t xml:space="preserve"> du fait de l</w:t>
      </w:r>
      <w:r w:rsidR="00CA3210">
        <w:rPr>
          <w:rStyle w:val="s23c0e8e7"/>
        </w:rPr>
        <w:t>’</w:t>
      </w:r>
      <w:r>
        <w:rPr>
          <w:rStyle w:val="s23c0e8e7"/>
        </w:rPr>
        <w:t>ouverture des poursuites incriminées</w:t>
      </w:r>
      <w:r w:rsidRPr="00D179B1">
        <w:rPr>
          <w:rStyle w:val="s23c0e8e7"/>
        </w:rPr>
        <w:t>.</w:t>
      </w:r>
    </w:p>
    <w:p w:rsidR="002922B9" w:rsidRPr="00D179B1" w:rsidRDefault="002922B9" w:rsidP="00CD0DF3">
      <w:pPr>
        <w:pStyle w:val="ECHRPara"/>
      </w:pPr>
      <w:r>
        <w:rPr>
          <w:snapToGrid w:val="0"/>
          <w:lang w:eastAsia="en-US"/>
        </w:rPr>
        <w:t>42</w:t>
      </w:r>
      <w:r w:rsidRPr="00D179B1">
        <w:rPr>
          <w:snapToGrid w:val="0"/>
          <w:lang w:eastAsia="en-US"/>
        </w:rPr>
        <w:t>.  Il s</w:t>
      </w:r>
      <w:r w:rsidR="00CA3210">
        <w:rPr>
          <w:snapToGrid w:val="0"/>
          <w:lang w:eastAsia="en-US"/>
        </w:rPr>
        <w:t>’</w:t>
      </w:r>
      <w:r w:rsidRPr="00D179B1">
        <w:rPr>
          <w:snapToGrid w:val="0"/>
          <w:lang w:eastAsia="en-US"/>
        </w:rPr>
        <w:t xml:space="preserve">ensuit que ce grief </w:t>
      </w:r>
      <w:r>
        <w:rPr>
          <w:snapToGrid w:val="0"/>
          <w:lang w:eastAsia="en-US"/>
        </w:rPr>
        <w:t xml:space="preserve">doit être rejeté en partie pour non-épuisement des voies de recours internes et en partie pour défaut </w:t>
      </w:r>
      <w:r w:rsidRPr="00D179B1">
        <w:rPr>
          <w:snapToGrid w:val="0"/>
          <w:lang w:eastAsia="en-US"/>
        </w:rPr>
        <w:t>manifeste</w:t>
      </w:r>
      <w:r>
        <w:rPr>
          <w:snapToGrid w:val="0"/>
          <w:lang w:eastAsia="en-US"/>
        </w:rPr>
        <w:t xml:space="preserve"> de</w:t>
      </w:r>
      <w:r w:rsidRPr="00D179B1">
        <w:rPr>
          <w:snapToGrid w:val="0"/>
          <w:lang w:eastAsia="en-US"/>
        </w:rPr>
        <w:t xml:space="preserve"> fond</w:t>
      </w:r>
      <w:r>
        <w:rPr>
          <w:snapToGrid w:val="0"/>
          <w:lang w:eastAsia="en-US"/>
        </w:rPr>
        <w:t xml:space="preserve">ement </w:t>
      </w:r>
      <w:r w:rsidRPr="00D179B1">
        <w:rPr>
          <w:snapToGrid w:val="0"/>
          <w:lang w:eastAsia="en-US"/>
        </w:rPr>
        <w:t>en application de l</w:t>
      </w:r>
      <w:r w:rsidR="00CA3210">
        <w:rPr>
          <w:snapToGrid w:val="0"/>
          <w:lang w:eastAsia="en-US"/>
        </w:rPr>
        <w:t>’</w:t>
      </w:r>
      <w:r w:rsidRPr="00D179B1">
        <w:rPr>
          <w:snapToGrid w:val="0"/>
          <w:lang w:eastAsia="en-US"/>
        </w:rPr>
        <w:t>article</w:t>
      </w:r>
      <w:r>
        <w:rPr>
          <w:snapToGrid w:val="0"/>
          <w:lang w:eastAsia="en-US"/>
        </w:rPr>
        <w:t> </w:t>
      </w:r>
      <w:r w:rsidRPr="00D179B1">
        <w:rPr>
          <w:snapToGrid w:val="0"/>
          <w:lang w:eastAsia="en-US"/>
        </w:rPr>
        <w:t xml:space="preserve">35 §§ </w:t>
      </w:r>
      <w:r>
        <w:rPr>
          <w:snapToGrid w:val="0"/>
          <w:lang w:eastAsia="en-US"/>
        </w:rPr>
        <w:t xml:space="preserve">1, </w:t>
      </w:r>
      <w:r w:rsidRPr="00D179B1">
        <w:rPr>
          <w:snapToGrid w:val="0"/>
          <w:lang w:eastAsia="en-US"/>
        </w:rPr>
        <w:t>3 </w:t>
      </w:r>
      <w:r w:rsidRPr="00D179B1">
        <w:t xml:space="preserve">a) </w:t>
      </w:r>
      <w:r w:rsidRPr="00D179B1">
        <w:rPr>
          <w:snapToGrid w:val="0"/>
          <w:lang w:eastAsia="en-US"/>
        </w:rPr>
        <w:t>et 4 de la Convention.</w:t>
      </w:r>
    </w:p>
    <w:p w:rsidR="00CA3210" w:rsidRDefault="002922B9" w:rsidP="00CD0DF3">
      <w:pPr>
        <w:pStyle w:val="JuParaLast"/>
      </w:pPr>
      <w:r w:rsidRPr="00D179B1">
        <w:t>Par ces motifs, la Cour,</w:t>
      </w:r>
    </w:p>
    <w:p w:rsidR="002922B9" w:rsidRDefault="002922B9" w:rsidP="00CD0DF3">
      <w:pPr>
        <w:pStyle w:val="JuParaLast"/>
      </w:pPr>
      <w:r w:rsidRPr="00D179B1">
        <w:t>à l</w:t>
      </w:r>
      <w:r w:rsidR="00CA3210">
        <w:t>’</w:t>
      </w:r>
      <w:r w:rsidRPr="00D179B1">
        <w:t>unanimité,</w:t>
      </w:r>
    </w:p>
    <w:p w:rsidR="002922B9" w:rsidRDefault="002922B9" w:rsidP="00CD0DF3">
      <w:pPr>
        <w:pStyle w:val="JuParaLast"/>
      </w:pPr>
      <w:r w:rsidRPr="00D179B1">
        <w:rPr>
          <w:i/>
        </w:rPr>
        <w:t>Déclare</w:t>
      </w:r>
      <w:r w:rsidRPr="00D179B1">
        <w:t xml:space="preserve"> </w:t>
      </w:r>
      <w:r>
        <w:t>le grief tiré de l</w:t>
      </w:r>
      <w:r w:rsidR="00CA3210">
        <w:t>’</w:t>
      </w:r>
      <w:r>
        <w:t xml:space="preserve">article 6 § 2 de la Convention </w:t>
      </w:r>
      <w:r w:rsidRPr="00D179B1">
        <w:t>irrecevable</w:t>
      </w:r>
      <w:r>
        <w:t>,</w:t>
      </w:r>
    </w:p>
    <w:p w:rsidR="002922B9" w:rsidRPr="00D179B1" w:rsidRDefault="002922B9" w:rsidP="00CD0DF3">
      <w:pPr>
        <w:pStyle w:val="JuParaLast"/>
      </w:pPr>
      <w:r w:rsidRPr="00D179B1">
        <w:t>à la majorité,</w:t>
      </w:r>
    </w:p>
    <w:p w:rsidR="002922B9" w:rsidRPr="00D179B1" w:rsidRDefault="002922B9" w:rsidP="00CD0DF3">
      <w:pPr>
        <w:pStyle w:val="DecList"/>
      </w:pPr>
      <w:r w:rsidRPr="00D179B1">
        <w:rPr>
          <w:i/>
        </w:rPr>
        <w:t>Déclare</w:t>
      </w:r>
      <w:r w:rsidRPr="00D179B1">
        <w:t xml:space="preserve"> </w:t>
      </w:r>
      <w:r>
        <w:t xml:space="preserve">le restant de la requête </w:t>
      </w:r>
      <w:r w:rsidRPr="00D179B1">
        <w:t>irrecevable.</w:t>
      </w:r>
    </w:p>
    <w:p w:rsidR="00865E41" w:rsidRPr="000903DC" w:rsidRDefault="002922B9" w:rsidP="00F658A0">
      <w:pPr>
        <w:pStyle w:val="JuSigned"/>
        <w:rPr>
          <w:szCs w:val="24"/>
        </w:rPr>
      </w:pPr>
      <w:r w:rsidRPr="000903DC">
        <w:tab/>
      </w:r>
      <w:r>
        <w:t>Stanley</w:t>
      </w:r>
      <w:r w:rsidRPr="000903DC">
        <w:t xml:space="preserve"> </w:t>
      </w:r>
      <w:r>
        <w:t>Naismith</w:t>
      </w:r>
      <w:r w:rsidR="00865E41" w:rsidRPr="000903DC">
        <w:tab/>
      </w:r>
      <w:r>
        <w:t>Işıl</w:t>
      </w:r>
      <w:r w:rsidRPr="000903DC">
        <w:t xml:space="preserve"> </w:t>
      </w:r>
      <w:r>
        <w:t>Karakaş</w:t>
      </w:r>
      <w:r w:rsidR="00865E41" w:rsidRPr="000903DC">
        <w:br/>
      </w:r>
      <w:r w:rsidR="00865E41" w:rsidRPr="000903DC">
        <w:tab/>
      </w:r>
      <w:r>
        <w:rPr>
          <w:szCs w:val="24"/>
        </w:rPr>
        <w:t>Greffier</w:t>
      </w:r>
      <w:r w:rsidR="00865E41" w:rsidRPr="000903DC">
        <w:tab/>
      </w:r>
      <w:r w:rsidRPr="000903DC">
        <w:t>Présidente</w:t>
      </w:r>
    </w:p>
    <w:sectPr w:rsidR="00865E41" w:rsidRPr="000903DC" w:rsidSect="0010023A">
      <w:headerReference w:type="even" r:id="rId8"/>
      <w:headerReference w:type="default" r:id="rId9"/>
      <w:headerReference w:type="first" r:id="rId10"/>
      <w:footerReference w:type="first" r:id="rId11"/>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B9" w:rsidRDefault="002922B9">
      <w:r>
        <w:separator/>
      </w:r>
    </w:p>
  </w:endnote>
  <w:endnote w:type="continuationSeparator" w:id="0">
    <w:p w:rsidR="002922B9" w:rsidRDefault="0029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9" w:rsidRPr="00150BFA" w:rsidRDefault="002922B9" w:rsidP="0020718E">
    <w:pPr>
      <w:jc w:val="center"/>
    </w:pPr>
    <w:r>
      <w:rPr>
        <w:noProof/>
        <w:lang w:eastAsia="ja-JP"/>
      </w:rPr>
      <w:drawing>
        <wp:inline distT="0" distB="0" distL="0" distR="0" wp14:anchorId="5642E0BC" wp14:editId="5EB4835B">
          <wp:extent cx="762002" cy="6096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2" cy="609601"/>
                  </a:xfrm>
                  <a:prstGeom prst="rect">
                    <a:avLst/>
                  </a:prstGeom>
                </pic:spPr>
              </pic:pic>
            </a:graphicData>
          </a:graphic>
        </wp:inline>
      </w:drawing>
    </w:r>
  </w:p>
  <w:p w:rsidR="00112D62" w:rsidRPr="00633A19" w:rsidRDefault="00112D62"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B9" w:rsidRDefault="002922B9">
      <w:r>
        <w:separator/>
      </w:r>
    </w:p>
  </w:footnote>
  <w:footnote w:type="continuationSeparator" w:id="0">
    <w:p w:rsidR="002922B9" w:rsidRDefault="0029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2922B9" w:rsidP="001472F0">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597B1E">
      <w:rPr>
        <w:rStyle w:val="PageNumber"/>
        <w:noProof/>
        <w:lang w:val="en-GB"/>
      </w:rPr>
      <w:t>2</w:t>
    </w:r>
    <w:r>
      <w:rPr>
        <w:rStyle w:val="PageNumber"/>
        <w:lang w:val="en-GB"/>
      </w:rPr>
      <w:fldChar w:fldCharType="end"/>
    </w:r>
    <w:r w:rsidR="00112D62" w:rsidRPr="000D527F">
      <w:rPr>
        <w:lang w:val="en-GB"/>
      </w:rPr>
      <w:tab/>
      <w:t xml:space="preserve">DÉCISION </w:t>
    </w:r>
    <w:r>
      <w:rPr>
        <w:lang w:val="en-GB"/>
      </w:rPr>
      <w:t>STEFANELLI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112D62" w:rsidP="001472F0">
    <w:pPr>
      <w:pStyle w:val="ECHRHeader"/>
      <w:rPr>
        <w:lang w:val="en-GB"/>
      </w:rPr>
    </w:pPr>
    <w:r>
      <w:tab/>
    </w:r>
    <w:r w:rsidRPr="000D527F">
      <w:rPr>
        <w:lang w:val="en-GB"/>
      </w:rPr>
      <w:t xml:space="preserve">DÉCISION </w:t>
    </w:r>
    <w:r w:rsidR="002922B9">
      <w:rPr>
        <w:lang w:val="en-GB"/>
      </w:rPr>
      <w:t>STEFANELLI c. ITALIE</w:t>
    </w:r>
    <w:r w:rsidRPr="000D527F">
      <w:rPr>
        <w:lang w:val="en-GB"/>
      </w:rPr>
      <w:tab/>
    </w:r>
    <w:r w:rsidR="002922B9">
      <w:rPr>
        <w:rStyle w:val="PageNumber"/>
        <w:lang w:val="en-GB"/>
      </w:rPr>
      <w:fldChar w:fldCharType="begin"/>
    </w:r>
    <w:r w:rsidR="002922B9">
      <w:rPr>
        <w:rStyle w:val="PageNumber"/>
        <w:lang w:val="en-GB"/>
      </w:rPr>
      <w:instrText xml:space="preserve"> PAGE </w:instrText>
    </w:r>
    <w:r w:rsidR="002922B9">
      <w:rPr>
        <w:rStyle w:val="PageNumber"/>
        <w:lang w:val="en-GB"/>
      </w:rPr>
      <w:fldChar w:fldCharType="separate"/>
    </w:r>
    <w:r w:rsidR="00597B1E">
      <w:rPr>
        <w:rStyle w:val="PageNumber"/>
        <w:noProof/>
        <w:lang w:val="en-GB"/>
      </w:rPr>
      <w:t>2</w:t>
    </w:r>
    <w:r w:rsidR="002922B9">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9" w:rsidRPr="00A45145" w:rsidRDefault="002922B9" w:rsidP="00A45145">
    <w:pPr>
      <w:jc w:val="center"/>
    </w:pPr>
    <w:r w:rsidRPr="00A45145">
      <w:rPr>
        <w:noProof/>
        <w:lang w:eastAsia="ja-JP"/>
      </w:rPr>
      <w:drawing>
        <wp:inline distT="0" distB="0" distL="0" distR="0" wp14:anchorId="4288ABB1" wp14:editId="102F77F3">
          <wp:extent cx="2943225" cy="1219200"/>
          <wp:effectExtent l="0" t="0" r="9525" b="0"/>
          <wp:docPr id="13" name="Picture 13"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112D62" w:rsidRDefault="00112D62"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62C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0D2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687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5A22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A389A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789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A20709"/>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9D37F0"/>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4ED50D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0"/>
  </w:num>
  <w:num w:numId="4">
    <w:abstractNumId w:val="12"/>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2922B9"/>
    <w:rsid w:val="00023136"/>
    <w:rsid w:val="00032F1D"/>
    <w:rsid w:val="000549FE"/>
    <w:rsid w:val="00065108"/>
    <w:rsid w:val="000776E7"/>
    <w:rsid w:val="000903DC"/>
    <w:rsid w:val="00090C1A"/>
    <w:rsid w:val="000A1401"/>
    <w:rsid w:val="000D527F"/>
    <w:rsid w:val="000F6A08"/>
    <w:rsid w:val="0010023A"/>
    <w:rsid w:val="00107930"/>
    <w:rsid w:val="00112D62"/>
    <w:rsid w:val="0011604E"/>
    <w:rsid w:val="001472F0"/>
    <w:rsid w:val="00154F16"/>
    <w:rsid w:val="00166FBD"/>
    <w:rsid w:val="00172736"/>
    <w:rsid w:val="001D1FA9"/>
    <w:rsid w:val="00201D0C"/>
    <w:rsid w:val="00203AD0"/>
    <w:rsid w:val="00205AA5"/>
    <w:rsid w:val="002118F8"/>
    <w:rsid w:val="00226A7D"/>
    <w:rsid w:val="002532BA"/>
    <w:rsid w:val="00255060"/>
    <w:rsid w:val="0027093D"/>
    <w:rsid w:val="002712D0"/>
    <w:rsid w:val="002770EA"/>
    <w:rsid w:val="0028619D"/>
    <w:rsid w:val="002922B9"/>
    <w:rsid w:val="002D6308"/>
    <w:rsid w:val="002E58E5"/>
    <w:rsid w:val="002E7061"/>
    <w:rsid w:val="00310822"/>
    <w:rsid w:val="0031317E"/>
    <w:rsid w:val="003146E4"/>
    <w:rsid w:val="0032205F"/>
    <w:rsid w:val="0034473C"/>
    <w:rsid w:val="0036750A"/>
    <w:rsid w:val="00385AD6"/>
    <w:rsid w:val="003B16FB"/>
    <w:rsid w:val="003C22C1"/>
    <w:rsid w:val="003C36F5"/>
    <w:rsid w:val="003D0B23"/>
    <w:rsid w:val="003F25B2"/>
    <w:rsid w:val="00400961"/>
    <w:rsid w:val="00407DAE"/>
    <w:rsid w:val="00420AA8"/>
    <w:rsid w:val="00493AB0"/>
    <w:rsid w:val="00493E46"/>
    <w:rsid w:val="004A3858"/>
    <w:rsid w:val="004B31F3"/>
    <w:rsid w:val="005037AE"/>
    <w:rsid w:val="00540FD1"/>
    <w:rsid w:val="00597B1E"/>
    <w:rsid w:val="005A42E8"/>
    <w:rsid w:val="005B6C5B"/>
    <w:rsid w:val="005E5D17"/>
    <w:rsid w:val="005F5CB1"/>
    <w:rsid w:val="00633392"/>
    <w:rsid w:val="00633A19"/>
    <w:rsid w:val="00684F0E"/>
    <w:rsid w:val="006A2B72"/>
    <w:rsid w:val="006A7B93"/>
    <w:rsid w:val="006E27C0"/>
    <w:rsid w:val="007651AE"/>
    <w:rsid w:val="007A309B"/>
    <w:rsid w:val="007D76BA"/>
    <w:rsid w:val="007F129C"/>
    <w:rsid w:val="00801124"/>
    <w:rsid w:val="00803C18"/>
    <w:rsid w:val="008136EC"/>
    <w:rsid w:val="00832AA9"/>
    <w:rsid w:val="00844B64"/>
    <w:rsid w:val="008579EB"/>
    <w:rsid w:val="00865E41"/>
    <w:rsid w:val="00874A8F"/>
    <w:rsid w:val="00875B0A"/>
    <w:rsid w:val="008C17BD"/>
    <w:rsid w:val="008E63DB"/>
    <w:rsid w:val="00927DD4"/>
    <w:rsid w:val="0093692A"/>
    <w:rsid w:val="009730E8"/>
    <w:rsid w:val="009778E2"/>
    <w:rsid w:val="00984EA3"/>
    <w:rsid w:val="009927A5"/>
    <w:rsid w:val="009A7AF9"/>
    <w:rsid w:val="009B224F"/>
    <w:rsid w:val="009B451E"/>
    <w:rsid w:val="009B5280"/>
    <w:rsid w:val="00A04C71"/>
    <w:rsid w:val="00A05A93"/>
    <w:rsid w:val="00A144FE"/>
    <w:rsid w:val="00A17FA0"/>
    <w:rsid w:val="00A95342"/>
    <w:rsid w:val="00AA7712"/>
    <w:rsid w:val="00AC51AB"/>
    <w:rsid w:val="00B1214B"/>
    <w:rsid w:val="00B32A42"/>
    <w:rsid w:val="00B43BED"/>
    <w:rsid w:val="00B5195D"/>
    <w:rsid w:val="00B779A1"/>
    <w:rsid w:val="00B82A8F"/>
    <w:rsid w:val="00BB340A"/>
    <w:rsid w:val="00BF1267"/>
    <w:rsid w:val="00BF2FDC"/>
    <w:rsid w:val="00C7172B"/>
    <w:rsid w:val="00C92045"/>
    <w:rsid w:val="00CA3210"/>
    <w:rsid w:val="00CC7EC4"/>
    <w:rsid w:val="00D25AE8"/>
    <w:rsid w:val="00D83B17"/>
    <w:rsid w:val="00DA7E94"/>
    <w:rsid w:val="00DB28B4"/>
    <w:rsid w:val="00DB5EE7"/>
    <w:rsid w:val="00DC44E5"/>
    <w:rsid w:val="00DD2564"/>
    <w:rsid w:val="00E6776A"/>
    <w:rsid w:val="00EB6E07"/>
    <w:rsid w:val="00EC49B5"/>
    <w:rsid w:val="00ED11F0"/>
    <w:rsid w:val="00EE39D3"/>
    <w:rsid w:val="00F12B8E"/>
    <w:rsid w:val="00F24036"/>
    <w:rsid w:val="00F275F4"/>
    <w:rsid w:val="00F658A0"/>
    <w:rsid w:val="00F706B5"/>
    <w:rsid w:val="00F9710C"/>
    <w:rsid w:val="00FA22CA"/>
    <w:rsid w:val="00FA5B45"/>
    <w:rsid w:val="00FD6C5C"/>
    <w:rsid w:val="00FF67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caption" w:semiHidden="1" w:qFormat="1"/>
    <w:lsdException w:name="annotation reference" w:uiPriority="0"/>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36750A"/>
    <w:pPr>
      <w:jc w:val="both"/>
    </w:pPr>
    <w:rPr>
      <w:rFonts w:eastAsiaTheme="minorEastAsia"/>
      <w:sz w:val="24"/>
      <w:lang w:val="en-US" w:eastAsia="en-US"/>
    </w:rPr>
  </w:style>
  <w:style w:type="paragraph" w:styleId="Heading1">
    <w:name w:val="heading 1"/>
    <w:basedOn w:val="Normal"/>
    <w:next w:val="Normal"/>
    <w:link w:val="Heading1Char"/>
    <w:uiPriority w:val="99"/>
    <w:semiHidden/>
    <w:rsid w:val="0036750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6750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6750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6750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6750A"/>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36750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6750A"/>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36750A"/>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36750A"/>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750A"/>
    <w:pPr>
      <w:tabs>
        <w:tab w:val="center" w:pos="4536"/>
        <w:tab w:val="right" w:pos="9072"/>
      </w:tabs>
    </w:pPr>
    <w:rPr>
      <w:rFonts w:eastAsiaTheme="minorHAnsi"/>
    </w:rPr>
  </w:style>
  <w:style w:type="paragraph" w:styleId="FootnoteText">
    <w:name w:val="footnote text"/>
    <w:basedOn w:val="Normal"/>
    <w:link w:val="FootnoteTextChar"/>
    <w:uiPriority w:val="99"/>
    <w:semiHidden/>
    <w:rsid w:val="0036750A"/>
    <w:rPr>
      <w:sz w:val="20"/>
      <w:szCs w:val="20"/>
    </w:rPr>
  </w:style>
  <w:style w:type="paragraph" w:styleId="Footer">
    <w:name w:val="footer"/>
    <w:basedOn w:val="Normal"/>
    <w:link w:val="FooterChar"/>
    <w:uiPriority w:val="99"/>
    <w:semiHidden/>
    <w:rsid w:val="0036750A"/>
    <w:pPr>
      <w:tabs>
        <w:tab w:val="center" w:pos="4536"/>
        <w:tab w:val="right" w:pos="9696"/>
      </w:tabs>
      <w:ind w:left="-680" w:right="-680"/>
    </w:pPr>
    <w:rPr>
      <w:rFonts w:eastAsiaTheme="minorHAnsi"/>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customStyle="1" w:styleId="Heading1Char">
    <w:name w:val="Heading 1 Char"/>
    <w:basedOn w:val="DefaultParagraphFont"/>
    <w:link w:val="Heading1"/>
    <w:uiPriority w:val="99"/>
    <w:rsid w:val="0036750A"/>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rsid w:val="0036750A"/>
    <w:rPr>
      <w:rFonts w:asciiTheme="majorHAnsi" w:eastAsiaTheme="majorEastAsia" w:hAnsiTheme="majorHAnsi" w:cstheme="majorBidi"/>
      <w:b/>
      <w:bCs/>
      <w:color w:val="4D4D4D"/>
      <w:sz w:val="26"/>
      <w:szCs w:val="26"/>
      <w:lang w:val="en-US" w:eastAsia="en-US"/>
    </w:rPr>
  </w:style>
  <w:style w:type="character" w:styleId="FootnoteReference">
    <w:name w:val="footnote reference"/>
    <w:basedOn w:val="DefaultParagraphFont"/>
    <w:uiPriority w:val="99"/>
    <w:semiHidden/>
    <w:rsid w:val="0036750A"/>
    <w:rPr>
      <w:vertAlign w:val="superscript"/>
    </w:rPr>
  </w:style>
  <w:style w:type="character" w:customStyle="1" w:styleId="Heading3Char">
    <w:name w:val="Heading 3 Char"/>
    <w:basedOn w:val="DefaultParagraphFont"/>
    <w:link w:val="Heading3"/>
    <w:uiPriority w:val="99"/>
    <w:rsid w:val="0036750A"/>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36750A"/>
    <w:rPr>
      <w:rFonts w:asciiTheme="majorHAnsi" w:eastAsiaTheme="majorEastAsia" w:hAnsiTheme="majorHAnsi" w:cstheme="majorBidi"/>
      <w:b/>
      <w:bCs/>
      <w:i/>
      <w:iCs/>
      <w:color w:val="777777"/>
      <w:sz w:val="24"/>
      <w:lang w:val="en-US" w:eastAsia="en-US"/>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uiPriority w:val="99"/>
    <w:semiHidden/>
    <w:rPr>
      <w:sz w:val="20"/>
    </w:rPr>
  </w:style>
  <w:style w:type="character" w:customStyle="1" w:styleId="Heading6Char">
    <w:name w:val="Heading 6 Char"/>
    <w:basedOn w:val="DefaultParagraphFont"/>
    <w:link w:val="Heading6"/>
    <w:uiPriority w:val="99"/>
    <w:rsid w:val="0036750A"/>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36750A"/>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36750A"/>
  </w:style>
  <w:style w:type="paragraph" w:customStyle="1" w:styleId="ECHRPara">
    <w:name w:val="ECHR_Para"/>
    <w:aliases w:val="Ju_Para,Left,First line:  0 cm"/>
    <w:basedOn w:val="Normal"/>
    <w:link w:val="JuParaCar"/>
    <w:uiPriority w:val="12"/>
    <w:qFormat/>
    <w:rsid w:val="0036750A"/>
    <w:pPr>
      <w:ind w:firstLine="284"/>
    </w:pPr>
    <w:rPr>
      <w:lang w:val="fr-FR" w:eastAsia="fr-FR"/>
    </w:rPr>
  </w:style>
  <w:style w:type="paragraph" w:customStyle="1" w:styleId="ECHRFooterLine">
    <w:name w:val="ECHR_Footer_Line"/>
    <w:aliases w:val="Footer_Line"/>
    <w:basedOn w:val="Normal"/>
    <w:next w:val="ECHRFooter"/>
    <w:uiPriority w:val="57"/>
    <w:semiHidden/>
    <w:rsid w:val="0036750A"/>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36750A"/>
    <w:rPr>
      <w:sz w:val="24"/>
      <w:lang w:val="en-US" w:eastAsia="en-US"/>
    </w:rPr>
  </w:style>
  <w:style w:type="paragraph" w:customStyle="1" w:styleId="ECHRHeader">
    <w:name w:val="ECHR_Header"/>
    <w:aliases w:val="Ju_Header"/>
    <w:basedOn w:val="Header"/>
    <w:uiPriority w:val="4"/>
    <w:qFormat/>
    <w:rsid w:val="0036750A"/>
    <w:pPr>
      <w:tabs>
        <w:tab w:val="clear" w:pos="4536"/>
        <w:tab w:val="clear" w:pos="9072"/>
        <w:tab w:val="center" w:pos="3686"/>
        <w:tab w:val="right" w:pos="7371"/>
      </w:tabs>
      <w:jc w:val="left"/>
    </w:pPr>
    <w:rPr>
      <w:sz w:val="18"/>
      <w:lang w:val="fr-FR" w:eastAsia="fr-FR"/>
    </w:rPr>
  </w:style>
  <w:style w:type="character" w:customStyle="1" w:styleId="FootnoteTextChar">
    <w:name w:val="Footnote Text Char"/>
    <w:basedOn w:val="DefaultParagraphFont"/>
    <w:link w:val="FootnoteText"/>
    <w:uiPriority w:val="99"/>
    <w:semiHidden/>
    <w:rsid w:val="0036750A"/>
    <w:rPr>
      <w:rFonts w:eastAsiaTheme="minorEastAsia"/>
      <w:sz w:val="20"/>
      <w:szCs w:val="20"/>
      <w:lang w:val="en-US" w:eastAsia="en-US"/>
    </w:rPr>
  </w:style>
  <w:style w:type="paragraph" w:customStyle="1" w:styleId="JuAppQuestion">
    <w:name w:val="Ju_App_Question"/>
    <w:basedOn w:val="Normal"/>
    <w:qFormat/>
    <w:rsid w:val="0036750A"/>
    <w:pPr>
      <w:numPr>
        <w:numId w:val="2"/>
      </w:numPr>
      <w:jc w:val="left"/>
    </w:pPr>
    <w:rPr>
      <w:b/>
      <w:lang w:val="fr-FR" w:eastAsia="fr-FR"/>
    </w:rPr>
  </w:style>
  <w:style w:type="paragraph" w:customStyle="1" w:styleId="OpiPara">
    <w:name w:val="Opi_Para"/>
    <w:basedOn w:val="ECHRPara"/>
    <w:uiPriority w:val="46"/>
    <w:semiHidden/>
    <w:qFormat/>
    <w:rsid w:val="0036750A"/>
  </w:style>
  <w:style w:type="paragraph" w:customStyle="1" w:styleId="ECHRParaQuote">
    <w:name w:val="ECHR_Para_Quote"/>
    <w:aliases w:val="Ju_Quot"/>
    <w:basedOn w:val="Normal"/>
    <w:link w:val="JuQuotChar"/>
    <w:qFormat/>
    <w:rsid w:val="0036750A"/>
    <w:pPr>
      <w:spacing w:before="120" w:after="120"/>
      <w:ind w:left="425" w:firstLine="142"/>
    </w:pPr>
    <w:rPr>
      <w:sz w:val="20"/>
      <w:lang w:val="fr-FR" w:eastAsia="fr-FR"/>
    </w:rPr>
  </w:style>
  <w:style w:type="paragraph" w:customStyle="1" w:styleId="JuParaSub">
    <w:name w:val="Ju_Para_Sub"/>
    <w:basedOn w:val="ECHRPara"/>
    <w:uiPriority w:val="13"/>
    <w:qFormat/>
    <w:rsid w:val="0036750A"/>
    <w:pPr>
      <w:ind w:left="284"/>
    </w:pPr>
  </w:style>
  <w:style w:type="paragraph" w:customStyle="1" w:styleId="OpiParaSub">
    <w:name w:val="Opi_Para_Sub"/>
    <w:basedOn w:val="JuParaSub"/>
    <w:uiPriority w:val="47"/>
    <w:semiHidden/>
    <w:qFormat/>
    <w:rsid w:val="0036750A"/>
  </w:style>
  <w:style w:type="paragraph" w:customStyle="1" w:styleId="JuSigned">
    <w:name w:val="Ju_Signed"/>
    <w:basedOn w:val="Normal"/>
    <w:next w:val="JuParaLast"/>
    <w:uiPriority w:val="32"/>
    <w:qFormat/>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48"/>
    <w:semiHidden/>
    <w:qFormat/>
    <w:rsid w:val="0036750A"/>
  </w:style>
  <w:style w:type="paragraph" w:customStyle="1" w:styleId="OpiQuotSub">
    <w:name w:val="Opi_Quot_Sub"/>
    <w:basedOn w:val="JuQuotSub"/>
    <w:uiPriority w:val="49"/>
    <w:semiHidden/>
    <w:qFormat/>
    <w:rsid w:val="0036750A"/>
  </w:style>
  <w:style w:type="table" w:styleId="TableGrid">
    <w:name w:val="Table Grid"/>
    <w:basedOn w:val="TableNormal"/>
    <w:uiPriority w:val="99"/>
    <w:semiHidden/>
    <w:rsid w:val="0036750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uiPriority w:val="99"/>
    <w:semiHidden/>
    <w:rsid w:val="0011604E"/>
    <w:pPr>
      <w:shd w:val="clear" w:color="auto" w:fill="000080"/>
    </w:pPr>
    <w:rPr>
      <w:rFonts w:ascii="Tahoma" w:hAnsi="Tahoma" w:cs="Tahoma"/>
      <w:sz w:val="20"/>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27"/>
    <w:qFormat/>
    <w:rsid w:val="0036750A"/>
    <w:pPr>
      <w:keepNext/>
      <w:keepLines/>
      <w:spacing w:before="240" w:after="120"/>
      <w:jc w:val="center"/>
      <w:outlineLvl w:val="3"/>
    </w:pPr>
    <w:rPr>
      <w:rFonts w:asciiTheme="majorHAnsi" w:hAnsiTheme="majorHAnsi"/>
      <w:b/>
      <w:sz w:val="20"/>
      <w:lang w:val="fr-FR" w:eastAsia="fr-FR" w:bidi="en-US"/>
    </w:rPr>
  </w:style>
  <w:style w:type="paragraph" w:customStyle="1" w:styleId="JuTitle">
    <w:name w:val="Ju_Title"/>
    <w:basedOn w:val="Normal"/>
    <w:next w:val="ECHRPara"/>
    <w:uiPriority w:val="3"/>
    <w:qFormat/>
    <w:rsid w:val="0036750A"/>
    <w:pPr>
      <w:spacing w:before="720" w:after="240"/>
      <w:jc w:val="center"/>
      <w:outlineLvl w:val="0"/>
    </w:pPr>
    <w:rPr>
      <w:rFonts w:asciiTheme="majorHAnsi" w:hAnsiTheme="majorHAnsi"/>
      <w:b/>
      <w:caps/>
      <w:lang w:val="fr-FR" w:eastAsia="fr-FR"/>
    </w:rPr>
  </w:style>
  <w:style w:type="paragraph" w:customStyle="1" w:styleId="ECHRTitleCentre1">
    <w:name w:val="ECHR_Title_Centre_1"/>
    <w:aliases w:val="Opi_H_Head"/>
    <w:basedOn w:val="Normal"/>
    <w:next w:val="OpiPara"/>
    <w:uiPriority w:val="39"/>
    <w:semiHidden/>
    <w:qFormat/>
    <w:rsid w:val="0036750A"/>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uiPriority w:val="10"/>
    <w:semiHidden/>
    <w:rsid w:val="0036750A"/>
    <w:pPr>
      <w:ind w:firstLine="284"/>
    </w:pPr>
    <w:rPr>
      <w:b/>
    </w:rPr>
  </w:style>
  <w:style w:type="paragraph" w:customStyle="1" w:styleId="JuQuotSub">
    <w:name w:val="Ju_Quot_Sub"/>
    <w:basedOn w:val="ECHRParaQuote"/>
    <w:uiPriority w:val="15"/>
    <w:qFormat/>
    <w:rsid w:val="0036750A"/>
    <w:pPr>
      <w:ind w:left="567"/>
    </w:pPr>
  </w:style>
  <w:style w:type="paragraph" w:customStyle="1" w:styleId="ECHRTitle1">
    <w:name w:val="ECHR_Title_1"/>
    <w:aliases w:val="Ju_H_Head"/>
    <w:basedOn w:val="Normal"/>
    <w:next w:val="ECHRPara"/>
    <w:link w:val="JuHHeadChar"/>
    <w:qFormat/>
    <w:rsid w:val="0036750A"/>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uiPriority w:val="31"/>
    <w:qFormat/>
    <w:rsid w:val="0036750A"/>
    <w:pPr>
      <w:tabs>
        <w:tab w:val="center" w:pos="6407"/>
      </w:tabs>
      <w:spacing w:before="720"/>
      <w:jc w:val="right"/>
    </w:pPr>
    <w:rPr>
      <w:lang w:val="fr-FR" w:eastAsia="fr-FR"/>
    </w:rPr>
  </w:style>
  <w:style w:type="paragraph" w:customStyle="1" w:styleId="DecHTitle">
    <w:name w:val="Dec_H_Title"/>
    <w:basedOn w:val="ECHRTitleCentre1"/>
    <w:uiPriority w:val="7"/>
    <w:qFormat/>
    <w:rsid w:val="0036750A"/>
  </w:style>
  <w:style w:type="paragraph" w:customStyle="1" w:styleId="ECHRTitleCentre2">
    <w:name w:val="ECHR_Title_Centre_2"/>
    <w:aliases w:val="Dec_H_Case"/>
    <w:basedOn w:val="Normal"/>
    <w:next w:val="ECHRPara"/>
    <w:uiPriority w:val="8"/>
    <w:qFormat/>
    <w:rsid w:val="0036750A"/>
    <w:pPr>
      <w:spacing w:after="240"/>
      <w:jc w:val="center"/>
      <w:outlineLvl w:val="0"/>
    </w:pPr>
    <w:rPr>
      <w:rFonts w:asciiTheme="majorHAnsi" w:hAnsiTheme="majorHAnsi"/>
      <w:lang w:val="fr-FR" w:eastAsia="fr-FR"/>
    </w:rPr>
  </w:style>
  <w:style w:type="paragraph" w:customStyle="1" w:styleId="OpiHA">
    <w:name w:val="Opi_H_A"/>
    <w:basedOn w:val="ECHRHeading1"/>
    <w:next w:val="OpiPara"/>
    <w:uiPriority w:val="41"/>
    <w:semiHidden/>
    <w:qFormat/>
    <w:rsid w:val="0036750A"/>
    <w:pPr>
      <w:tabs>
        <w:tab w:val="clear" w:pos="357"/>
      </w:tabs>
      <w:outlineLvl w:val="1"/>
    </w:pPr>
    <w:rPr>
      <w:b/>
    </w:rPr>
  </w:style>
  <w:style w:type="character" w:customStyle="1" w:styleId="JUNAMES">
    <w:name w:val="JU_NAMES"/>
    <w:uiPriority w:val="17"/>
    <w:qFormat/>
    <w:rsid w:val="0036750A"/>
    <w:rPr>
      <w:caps w:val="0"/>
      <w:smallCaps/>
    </w:rPr>
  </w:style>
  <w:style w:type="paragraph" w:customStyle="1" w:styleId="OpiTranslation">
    <w:name w:val="Opi_Translation"/>
    <w:basedOn w:val="Normal"/>
    <w:next w:val="OpiPara"/>
    <w:uiPriority w:val="40"/>
    <w:semiHidden/>
    <w:qFormat/>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36750A"/>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uiPriority w:val="19"/>
    <w:qFormat/>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qFormat/>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qFormat/>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uiPriority w:val="99"/>
    <w:semiHidden/>
    <w:rsid w:val="000903DC"/>
    <w:rPr>
      <w:sz w:val="20"/>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color w:val="0072BC" w:themeColor="hyperlink"/>
      <w:u w:val="single"/>
    </w:rPr>
  </w:style>
  <w:style w:type="paragraph" w:customStyle="1" w:styleId="ECHRHeading5">
    <w:name w:val="ECHR_Heading_5"/>
    <w:aliases w:val="Ju_H_i"/>
    <w:basedOn w:val="Heading5"/>
    <w:next w:val="ECHRPara"/>
    <w:uiPriority w:val="23"/>
    <w:qFormat/>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
      </w:numPr>
    </w:pPr>
  </w:style>
  <w:style w:type="paragraph" w:customStyle="1" w:styleId="ECHRHeading7">
    <w:name w:val="ECHR_Heading_7"/>
    <w:aliases w:val="Ju_H_–"/>
    <w:basedOn w:val="Heading7"/>
    <w:next w:val="ECHRPara"/>
    <w:uiPriority w:val="25"/>
    <w:qFormat/>
    <w:rsid w:val="0036750A"/>
    <w:pPr>
      <w:keepNext/>
      <w:keepLines/>
      <w:spacing w:before="240" w:after="120"/>
      <w:ind w:left="1236"/>
    </w:pPr>
    <w:rPr>
      <w:sz w:val="20"/>
    </w:rPr>
  </w:style>
  <w:style w:type="character" w:customStyle="1" w:styleId="JuITMark">
    <w:name w:val="Ju_ITMark"/>
    <w:basedOn w:val="DefaultParagraphFont"/>
    <w:uiPriority w:val="38"/>
    <w:qFormat/>
    <w:rsid w:val="0036750A"/>
    <w:rPr>
      <w:vanish/>
      <w:color w:val="339966"/>
      <w:sz w:val="14"/>
    </w:rPr>
  </w:style>
  <w:style w:type="paragraph" w:customStyle="1" w:styleId="JuParaLast">
    <w:name w:val="Ju_Para_Last"/>
    <w:basedOn w:val="Normal"/>
    <w:next w:val="ECHRPara"/>
    <w:qFormat/>
    <w:rsid w:val="0036750A"/>
    <w:pPr>
      <w:keepNext/>
      <w:keepLines/>
      <w:spacing w:before="240"/>
      <w:ind w:firstLine="284"/>
    </w:pPr>
    <w:rPr>
      <w:lang w:val="fr-FR" w:eastAsia="fr-FR"/>
    </w:rPr>
  </w:style>
  <w:style w:type="paragraph" w:customStyle="1" w:styleId="DecList">
    <w:name w:val="Dec_List"/>
    <w:basedOn w:val="Normal"/>
    <w:qFormat/>
    <w:rsid w:val="0036750A"/>
    <w:pPr>
      <w:spacing w:before="240"/>
      <w:ind w:left="284"/>
    </w:pPr>
    <w:rPr>
      <w:lang w:val="fr-FR" w:eastAsia="fr-FR"/>
    </w:rPr>
  </w:style>
  <w:style w:type="paragraph" w:customStyle="1" w:styleId="ECHRDecisionBody">
    <w:name w:val="ECHR_Decision_Body"/>
    <w:aliases w:val="Ju_Judges"/>
    <w:basedOn w:val="Normal"/>
    <w:link w:val="JuJudgesChar"/>
    <w:qFormat/>
    <w:rsid w:val="0036750A"/>
    <w:pPr>
      <w:tabs>
        <w:tab w:val="left" w:pos="567"/>
        <w:tab w:val="left" w:pos="1134"/>
      </w:tabs>
      <w:jc w:val="left"/>
    </w:pPr>
    <w:rPr>
      <w:lang w:val="fr-FR" w:eastAsia="fr-FR"/>
    </w:rPr>
  </w:style>
  <w:style w:type="paragraph" w:customStyle="1" w:styleId="JuList">
    <w:name w:val="Ju_List"/>
    <w:basedOn w:val="Normal"/>
    <w:uiPriority w:val="28"/>
    <w:qFormat/>
    <w:rsid w:val="0036750A"/>
    <w:pPr>
      <w:ind w:left="340" w:hanging="340"/>
    </w:pPr>
    <w:rPr>
      <w:lang w:val="fr-FR" w:eastAsia="fr-FR"/>
    </w:rPr>
  </w:style>
  <w:style w:type="paragraph" w:customStyle="1" w:styleId="JuLista">
    <w:name w:val="Ju_List_a"/>
    <w:basedOn w:val="JuList"/>
    <w:uiPriority w:val="28"/>
    <w:qFormat/>
    <w:rsid w:val="0036750A"/>
    <w:pPr>
      <w:ind w:left="346" w:firstLine="0"/>
    </w:pPr>
  </w:style>
  <w:style w:type="character" w:styleId="PlaceholderText">
    <w:name w:val="Placeholder Text"/>
    <w:basedOn w:val="DefaultParagraphFont"/>
    <w:uiPriority w:val="99"/>
    <w:semiHidden/>
    <w:rsid w:val="00F24036"/>
    <w:rPr>
      <w:color w:val="808080"/>
    </w:rPr>
  </w:style>
  <w:style w:type="character" w:customStyle="1" w:styleId="FooterChar">
    <w:name w:val="Footer Char"/>
    <w:basedOn w:val="DefaultParagraphFont"/>
    <w:link w:val="Footer"/>
    <w:uiPriority w:val="57"/>
    <w:rsid w:val="0036750A"/>
    <w:rPr>
      <w:sz w:val="24"/>
      <w:lang w:val="en-US" w:eastAsia="en-US"/>
    </w:rPr>
  </w:style>
  <w:style w:type="paragraph" w:customStyle="1" w:styleId="JuListi">
    <w:name w:val="Ju_List_i"/>
    <w:basedOn w:val="Normal"/>
    <w:next w:val="JuLista"/>
    <w:uiPriority w:val="28"/>
    <w:qFormat/>
    <w:rsid w:val="0036750A"/>
    <w:pPr>
      <w:ind w:left="794"/>
    </w:pPr>
    <w:rPr>
      <w:lang w:val="fr-FR" w:eastAsia="fr-FR"/>
    </w:rPr>
  </w:style>
  <w:style w:type="paragraph" w:customStyle="1" w:styleId="OpiH1">
    <w:name w:val="Opi_H_1"/>
    <w:basedOn w:val="ECHRHeading2"/>
    <w:uiPriority w:val="42"/>
    <w:semiHidden/>
    <w:qFormat/>
    <w:rsid w:val="0036750A"/>
    <w:pPr>
      <w:ind w:left="635" w:hanging="357"/>
      <w:outlineLvl w:val="2"/>
    </w:pPr>
  </w:style>
  <w:style w:type="character" w:customStyle="1" w:styleId="Heading5Char">
    <w:name w:val="Heading 5 Char"/>
    <w:basedOn w:val="DefaultParagraphFont"/>
    <w:link w:val="Heading5"/>
    <w:uiPriority w:val="99"/>
    <w:rsid w:val="0036750A"/>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36750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36750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36750A"/>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36750A"/>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36750A"/>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36750A"/>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36750A"/>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36750A"/>
    <w:rPr>
      <w:b/>
      <w:bCs/>
    </w:rPr>
  </w:style>
  <w:style w:type="character" w:styleId="Emphasis">
    <w:name w:val="Emphasis"/>
    <w:uiPriority w:val="99"/>
    <w:semiHidden/>
    <w:qFormat/>
    <w:rsid w:val="0036750A"/>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36750A"/>
    <w:rPr>
      <w:sz w:val="22"/>
      <w:lang w:val="fr-FR" w:eastAsia="fr-FR"/>
    </w:rPr>
  </w:style>
  <w:style w:type="character" w:customStyle="1" w:styleId="NoSpacingChar">
    <w:name w:val="No Spacing Char"/>
    <w:basedOn w:val="DefaultParagraphFont"/>
    <w:link w:val="NoSpacing"/>
    <w:rsid w:val="0036750A"/>
    <w:rPr>
      <w:rFonts w:eastAsiaTheme="minorEastAsia"/>
    </w:rPr>
  </w:style>
  <w:style w:type="paragraph" w:styleId="ListParagraph">
    <w:name w:val="List Paragraph"/>
    <w:basedOn w:val="Normal"/>
    <w:uiPriority w:val="99"/>
    <w:semiHidden/>
    <w:qFormat/>
    <w:rsid w:val="0036750A"/>
    <w:pPr>
      <w:ind w:left="720"/>
      <w:contextualSpacing/>
    </w:pPr>
    <w:rPr>
      <w:lang w:val="fr-FR" w:eastAsia="fr-FR"/>
    </w:rPr>
  </w:style>
  <w:style w:type="paragraph" w:styleId="Quote">
    <w:name w:val="Quote"/>
    <w:basedOn w:val="Normal"/>
    <w:next w:val="Normal"/>
    <w:link w:val="QuoteChar"/>
    <w:uiPriority w:val="99"/>
    <w:semiHidden/>
    <w:qFormat/>
    <w:rsid w:val="0036750A"/>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36750A"/>
    <w:rPr>
      <w:rFonts w:eastAsiaTheme="minorEastAsia"/>
      <w:i/>
      <w:iCs/>
      <w:lang w:bidi="en-US"/>
    </w:rPr>
  </w:style>
  <w:style w:type="paragraph" w:styleId="IntenseQuote">
    <w:name w:val="Intense Quote"/>
    <w:basedOn w:val="Normal"/>
    <w:next w:val="Normal"/>
    <w:link w:val="IntenseQuoteChar"/>
    <w:uiPriority w:val="99"/>
    <w:semiHidden/>
    <w:qFormat/>
    <w:rsid w:val="0036750A"/>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36750A"/>
    <w:rPr>
      <w:rFonts w:eastAsiaTheme="minorEastAsia"/>
      <w:b/>
      <w:bCs/>
      <w:i/>
      <w:iCs/>
      <w:lang w:bidi="en-US"/>
    </w:rPr>
  </w:style>
  <w:style w:type="character" w:styleId="SubtleEmphasis">
    <w:name w:val="Subtle Emphasis"/>
    <w:uiPriority w:val="99"/>
    <w:semiHidden/>
    <w:qFormat/>
    <w:rsid w:val="0036750A"/>
    <w:rPr>
      <w:i/>
      <w:iCs/>
    </w:rPr>
  </w:style>
  <w:style w:type="character" w:styleId="IntenseEmphasis">
    <w:name w:val="Intense Emphasis"/>
    <w:uiPriority w:val="99"/>
    <w:semiHidden/>
    <w:qFormat/>
    <w:rsid w:val="0036750A"/>
    <w:rPr>
      <w:b/>
      <w:bCs/>
    </w:rPr>
  </w:style>
  <w:style w:type="character" w:styleId="SubtleReference">
    <w:name w:val="Subtle Reference"/>
    <w:uiPriority w:val="99"/>
    <w:semiHidden/>
    <w:qFormat/>
    <w:rsid w:val="0036750A"/>
    <w:rPr>
      <w:smallCaps/>
    </w:rPr>
  </w:style>
  <w:style w:type="character" w:styleId="IntenseReference">
    <w:name w:val="Intense Reference"/>
    <w:uiPriority w:val="99"/>
    <w:semiHidden/>
    <w:qFormat/>
    <w:rsid w:val="0036750A"/>
    <w:rPr>
      <w:smallCaps/>
      <w:spacing w:val="5"/>
      <w:u w:val="single"/>
    </w:rPr>
  </w:style>
  <w:style w:type="character" w:styleId="BookTitle">
    <w:name w:val="Book Title"/>
    <w:uiPriority w:val="99"/>
    <w:semiHidden/>
    <w:qFormat/>
    <w:rsid w:val="0036750A"/>
    <w:rPr>
      <w:i/>
      <w:iCs/>
      <w:smallCaps/>
      <w:spacing w:val="5"/>
    </w:rPr>
  </w:style>
  <w:style w:type="paragraph" w:styleId="TOCHeading">
    <w:name w:val="TOC Heading"/>
    <w:basedOn w:val="Heading1"/>
    <w:next w:val="Normal"/>
    <w:uiPriority w:val="99"/>
    <w:semiHidden/>
    <w:qFormat/>
    <w:rsid w:val="0036750A"/>
    <w:pPr>
      <w:outlineLvl w:val="9"/>
    </w:pPr>
    <w:rPr>
      <w:color w:val="474747" w:themeColor="accent3" w:themeShade="BF"/>
      <w:lang w:val="fr-FR" w:eastAsia="fr-FR"/>
    </w:rPr>
  </w:style>
  <w:style w:type="paragraph" w:customStyle="1" w:styleId="OpiHa0">
    <w:name w:val="Opi_H_a"/>
    <w:basedOn w:val="ECHRHeading3"/>
    <w:uiPriority w:val="43"/>
    <w:semiHidden/>
    <w:qFormat/>
    <w:rsid w:val="0036750A"/>
    <w:pPr>
      <w:ind w:left="833" w:hanging="357"/>
      <w:outlineLvl w:val="3"/>
    </w:pPr>
    <w:rPr>
      <w:b/>
      <w:i w:val="0"/>
      <w:sz w:val="20"/>
    </w:rPr>
  </w:style>
  <w:style w:type="paragraph" w:customStyle="1" w:styleId="OpiHi">
    <w:name w:val="Opi_H_i"/>
    <w:basedOn w:val="ECHRHeading4"/>
    <w:uiPriority w:val="44"/>
    <w:semiHidden/>
    <w:qFormat/>
    <w:rsid w:val="0036750A"/>
    <w:pPr>
      <w:ind w:left="1037" w:hanging="357"/>
      <w:outlineLvl w:val="4"/>
    </w:pPr>
    <w:rPr>
      <w:b w:val="0"/>
      <w:i/>
    </w:rPr>
  </w:style>
  <w:style w:type="numbering" w:styleId="111111">
    <w:name w:val="Outline List 2"/>
    <w:basedOn w:val="NoList"/>
    <w:uiPriority w:val="99"/>
    <w:semiHidden/>
    <w:rsid w:val="0036750A"/>
    <w:pPr>
      <w:numPr>
        <w:numId w:val="3"/>
      </w:numPr>
    </w:pPr>
  </w:style>
  <w:style w:type="numbering" w:styleId="1ai">
    <w:name w:val="Outline List 1"/>
    <w:basedOn w:val="NoList"/>
    <w:uiPriority w:val="99"/>
    <w:semiHidden/>
    <w:rsid w:val="0036750A"/>
    <w:pPr>
      <w:numPr>
        <w:numId w:val="4"/>
      </w:numPr>
    </w:pPr>
  </w:style>
  <w:style w:type="numbering" w:styleId="ArticleSection">
    <w:name w:val="Outline List 3"/>
    <w:basedOn w:val="NoList"/>
    <w:uiPriority w:val="99"/>
    <w:semiHidden/>
    <w:rsid w:val="0036750A"/>
    <w:pPr>
      <w:numPr>
        <w:numId w:val="5"/>
      </w:numPr>
    </w:pPr>
  </w:style>
  <w:style w:type="paragraph" w:styleId="Bibliography">
    <w:name w:val="Bibliography"/>
    <w:basedOn w:val="Normal"/>
    <w:next w:val="Normal"/>
    <w:uiPriority w:val="99"/>
    <w:semiHidden/>
    <w:unhideWhenUsed/>
    <w:rsid w:val="0036750A"/>
  </w:style>
  <w:style w:type="paragraph" w:styleId="BlockText">
    <w:name w:val="Block Text"/>
    <w:basedOn w:val="Normal"/>
    <w:uiPriority w:val="99"/>
    <w:semiHidden/>
    <w:rsid w:val="0036750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rsid w:val="0036750A"/>
    <w:rPr>
      <w:rFonts w:eastAsiaTheme="minorEastAsia"/>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rsid w:val="0036750A"/>
    <w:rPr>
      <w:rFonts w:eastAsiaTheme="minorEastAsia"/>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rsid w:val="0036750A"/>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rsid w:val="0036750A"/>
    <w:rPr>
      <w:rFonts w:eastAsiaTheme="minorEastAsia"/>
      <w:sz w:val="24"/>
      <w:lang w:val="en-US" w:eastAsia="en-US"/>
    </w:rPr>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rsid w:val="0036750A"/>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rsid w:val="0036750A"/>
    <w:rPr>
      <w:rFonts w:eastAsiaTheme="minorEastAsia"/>
      <w:sz w:val="24"/>
      <w:lang w:val="en-US" w:eastAsia="en-US"/>
    </w:rPr>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rsid w:val="0036750A"/>
    <w:rPr>
      <w:rFonts w:eastAsiaTheme="minorEastAsia"/>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rsid w:val="0036750A"/>
    <w:rPr>
      <w:rFonts w:eastAsiaTheme="minorEastAsia"/>
      <w:sz w:val="16"/>
      <w:szCs w:val="16"/>
      <w:lang w:val="en-US" w:eastAsia="en-US"/>
    </w:rPr>
  </w:style>
  <w:style w:type="paragraph" w:styleId="Caption">
    <w:name w:val="caption"/>
    <w:basedOn w:val="Normal"/>
    <w:next w:val="Normal"/>
    <w:uiPriority w:val="99"/>
    <w:semiHidden/>
    <w:qFormat/>
    <w:rsid w:val="0036750A"/>
    <w:pPr>
      <w:spacing w:after="200"/>
    </w:pPr>
    <w:rPr>
      <w:b/>
      <w:bCs/>
      <w:color w:val="0072BC" w:themeColor="accent1"/>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rsid w:val="0036750A"/>
    <w:rPr>
      <w:rFonts w:eastAsiaTheme="minorEastAsia"/>
      <w:sz w:val="24"/>
      <w:lang w:val="en-US" w:eastAsia="en-US"/>
    </w:rPr>
  </w:style>
  <w:style w:type="table" w:styleId="ColorfulGrid">
    <w:name w:val="Colorful Grid"/>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36750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36750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36750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36750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TextChar">
    <w:name w:val="Comment Text Char"/>
    <w:basedOn w:val="DefaultParagraphFont"/>
    <w:link w:val="CommentText"/>
    <w:semiHidden/>
    <w:rsid w:val="0036750A"/>
    <w:rPr>
      <w:rFonts w:eastAsiaTheme="minorEastAsia"/>
      <w:sz w:val="20"/>
      <w:lang w:val="en-US" w:eastAsia="en-US"/>
    </w:rPr>
  </w:style>
  <w:style w:type="character" w:customStyle="1" w:styleId="CommentSubjectChar">
    <w:name w:val="Comment Subject Char"/>
    <w:basedOn w:val="CommentTextChar"/>
    <w:link w:val="CommentSubject"/>
    <w:rsid w:val="0036750A"/>
    <w:rPr>
      <w:rFonts w:eastAsiaTheme="minorEastAsia"/>
      <w:b/>
      <w:bCs/>
      <w:sz w:val="20"/>
      <w:szCs w:val="20"/>
      <w:lang w:val="en-US" w:eastAsia="en-US"/>
    </w:rPr>
  </w:style>
  <w:style w:type="table" w:styleId="DarkList">
    <w:name w:val="Dark List"/>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rsid w:val="0036750A"/>
    <w:rPr>
      <w:rFonts w:eastAsiaTheme="minorEastAsia"/>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rsid w:val="0036750A"/>
    <w:rPr>
      <w:rFonts w:eastAsiaTheme="minorEastAsia"/>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36750A"/>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36750A"/>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rsid w:val="0036750A"/>
    <w:rPr>
      <w:rFonts w:eastAsiaTheme="minorEastAsia"/>
      <w:i/>
      <w:iCs/>
      <w:sz w:val="24"/>
      <w:lang w:val="en-US" w:eastAsia="en-US"/>
    </w:rPr>
  </w:style>
  <w:style w:type="character" w:styleId="HTMLCite">
    <w:name w:val="HTML Cite"/>
    <w:basedOn w:val="DefaultParagraphFont"/>
    <w:uiPriority w:val="99"/>
    <w:semiHidden/>
    <w:rsid w:val="0036750A"/>
    <w:rPr>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rsid w:val="0036750A"/>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asciiTheme="majorHAnsi" w:eastAsiaTheme="majorEastAsia" w:hAnsiTheme="majorHAnsi" w:cstheme="majorBidi"/>
      <w:b/>
      <w:bCs/>
    </w:rPr>
  </w:style>
  <w:style w:type="table" w:styleId="LightGrid">
    <w:name w:val="Light Grid"/>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3675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36750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36750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36750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36750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36750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36750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36750A"/>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6"/>
      </w:numPr>
      <w:contextualSpacing/>
    </w:pPr>
  </w:style>
  <w:style w:type="paragraph" w:styleId="ListBullet3">
    <w:name w:val="List Bullet 3"/>
    <w:basedOn w:val="Normal"/>
    <w:uiPriority w:val="99"/>
    <w:semiHidden/>
    <w:rsid w:val="0036750A"/>
    <w:pPr>
      <w:numPr>
        <w:numId w:val="7"/>
      </w:numPr>
      <w:contextualSpacing/>
    </w:pPr>
  </w:style>
  <w:style w:type="paragraph" w:styleId="ListBullet4">
    <w:name w:val="List Bullet 4"/>
    <w:basedOn w:val="Normal"/>
    <w:uiPriority w:val="99"/>
    <w:semiHidden/>
    <w:rsid w:val="0036750A"/>
    <w:pPr>
      <w:numPr>
        <w:numId w:val="8"/>
      </w:numPr>
      <w:contextualSpacing/>
    </w:pPr>
  </w:style>
  <w:style w:type="paragraph" w:styleId="ListBullet5">
    <w:name w:val="List Bullet 5"/>
    <w:basedOn w:val="Normal"/>
    <w:uiPriority w:val="99"/>
    <w:semiHidden/>
    <w:rsid w:val="0036750A"/>
    <w:pPr>
      <w:numPr>
        <w:numId w:val="9"/>
      </w:numPr>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10"/>
      </w:numPr>
      <w:contextualSpacing/>
    </w:pPr>
  </w:style>
  <w:style w:type="paragraph" w:styleId="ListNumber2">
    <w:name w:val="List Number 2"/>
    <w:basedOn w:val="Normal"/>
    <w:uiPriority w:val="99"/>
    <w:semiHidden/>
    <w:rsid w:val="0036750A"/>
    <w:pPr>
      <w:numPr>
        <w:numId w:val="11"/>
      </w:numPr>
      <w:contextualSpacing/>
    </w:pPr>
  </w:style>
  <w:style w:type="paragraph" w:styleId="ListNumber3">
    <w:name w:val="List Number 3"/>
    <w:basedOn w:val="Normal"/>
    <w:uiPriority w:val="99"/>
    <w:semiHidden/>
    <w:rsid w:val="0036750A"/>
    <w:pPr>
      <w:numPr>
        <w:numId w:val="12"/>
      </w:numPr>
      <w:contextualSpacing/>
    </w:pPr>
  </w:style>
  <w:style w:type="paragraph" w:styleId="ListNumber4">
    <w:name w:val="List Number 4"/>
    <w:basedOn w:val="Normal"/>
    <w:uiPriority w:val="99"/>
    <w:semiHidden/>
    <w:rsid w:val="0036750A"/>
    <w:pPr>
      <w:numPr>
        <w:numId w:val="13"/>
      </w:numPr>
      <w:contextualSpacing/>
    </w:pPr>
  </w:style>
  <w:style w:type="paragraph" w:styleId="ListNumber5">
    <w:name w:val="List Number 5"/>
    <w:basedOn w:val="Normal"/>
    <w:uiPriority w:val="99"/>
    <w:semiHidden/>
    <w:rsid w:val="0036750A"/>
    <w:pPr>
      <w:numPr>
        <w:numId w:val="14"/>
      </w:numPr>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36750A"/>
    <w:rPr>
      <w:rFonts w:ascii="Consolas" w:eastAsiaTheme="minorEastAsia" w:hAnsi="Consolas" w:cs="Consolas"/>
      <w:sz w:val="20"/>
      <w:szCs w:val="20"/>
      <w:lang w:val="en-US" w:eastAsia="en-US"/>
    </w:rPr>
  </w:style>
  <w:style w:type="table" w:styleId="MediumGrid1">
    <w:name w:val="Medium Grid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36750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36750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36750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36750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36750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36750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36750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6750A"/>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36750A"/>
    <w:rPr>
      <w:rFonts w:ascii="Times New Roman" w:hAnsi="Times New Roman" w:cs="Times New Roman"/>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rsid w:val="0036750A"/>
    <w:rPr>
      <w:rFonts w:eastAsiaTheme="minorEastAsia"/>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rsid w:val="0036750A"/>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rsid w:val="0036750A"/>
    <w:rPr>
      <w:rFonts w:eastAsiaTheme="minorEastAsia"/>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rsid w:val="0036750A"/>
    <w:rPr>
      <w:rFonts w:eastAsiaTheme="minorEastAsia"/>
      <w:sz w:val="24"/>
      <w:lang w:val="en-US" w:eastAsia="en-US"/>
    </w:rPr>
  </w:style>
  <w:style w:type="table" w:styleId="Table3Deffects1">
    <w:name w:val="Table 3D effects 1"/>
    <w:basedOn w:val="TableNormal"/>
    <w:uiPriority w:val="99"/>
    <w:semiHidden/>
    <w:rsid w:val="0036750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6750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6750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paragraph" w:customStyle="1" w:styleId="JuParaChar">
    <w:name w:val="Ju_Para Char"/>
    <w:basedOn w:val="Normal"/>
    <w:link w:val="JuParaCharChar"/>
    <w:rsid w:val="002922B9"/>
    <w:pPr>
      <w:suppressAutoHyphens/>
      <w:ind w:firstLine="284"/>
    </w:pPr>
    <w:rPr>
      <w:rFonts w:ascii="Times New Roman" w:eastAsia="Times New Roman" w:hAnsi="Times New Roman" w:cs="Times New Roman"/>
      <w:szCs w:val="20"/>
      <w:lang w:val="fr-FR" w:eastAsia="fr-FR"/>
    </w:rPr>
  </w:style>
  <w:style w:type="character" w:customStyle="1" w:styleId="JuParaCharChar">
    <w:name w:val="Ju_Para Char Char"/>
    <w:link w:val="JuParaChar"/>
    <w:rsid w:val="002922B9"/>
    <w:rPr>
      <w:rFonts w:ascii="Times New Roman" w:eastAsia="Times New Roman" w:hAnsi="Times New Roman" w:cs="Times New Roman"/>
      <w:sz w:val="24"/>
      <w:szCs w:val="20"/>
    </w:rPr>
  </w:style>
  <w:style w:type="character" w:customStyle="1" w:styleId="JuParaCar">
    <w:name w:val="Ju_Para Car"/>
    <w:link w:val="ECHRPara"/>
    <w:uiPriority w:val="12"/>
    <w:rsid w:val="002922B9"/>
    <w:rPr>
      <w:rFonts w:eastAsiaTheme="minorEastAsia"/>
      <w:sz w:val="24"/>
    </w:rPr>
  </w:style>
  <w:style w:type="character" w:customStyle="1" w:styleId="JuJudgesChar">
    <w:name w:val="Ju_Judges Char"/>
    <w:link w:val="ECHRDecisionBody"/>
    <w:rsid w:val="002922B9"/>
    <w:rPr>
      <w:rFonts w:eastAsiaTheme="minorEastAsia"/>
      <w:sz w:val="24"/>
    </w:rPr>
  </w:style>
  <w:style w:type="character" w:customStyle="1" w:styleId="JuHHeadChar">
    <w:name w:val="Ju_H_Head Char"/>
    <w:link w:val="ECHRTitle1"/>
    <w:rsid w:val="002922B9"/>
    <w:rPr>
      <w:rFonts w:asciiTheme="majorHAnsi" w:eastAsiaTheme="minorEastAsia" w:hAnsiTheme="majorHAnsi"/>
      <w:sz w:val="28"/>
    </w:rPr>
  </w:style>
  <w:style w:type="character" w:customStyle="1" w:styleId="sb8d990e2">
    <w:name w:val="sb8d990e2"/>
    <w:rsid w:val="002922B9"/>
  </w:style>
  <w:style w:type="character" w:customStyle="1" w:styleId="s6b621b36">
    <w:name w:val="s6b621b36"/>
    <w:rsid w:val="002922B9"/>
  </w:style>
  <w:style w:type="character" w:customStyle="1" w:styleId="sea881cdfhasverticalalignsuper">
    <w:name w:val="sea881cdf hasverticalalignsuper"/>
    <w:rsid w:val="002922B9"/>
  </w:style>
  <w:style w:type="character" w:customStyle="1" w:styleId="JuQuotChar">
    <w:name w:val="Ju_Quot Char"/>
    <w:link w:val="ECHRParaQuote"/>
    <w:rsid w:val="002922B9"/>
    <w:rPr>
      <w:rFonts w:eastAsiaTheme="minorEastAsia"/>
      <w:sz w:val="20"/>
    </w:rPr>
  </w:style>
  <w:style w:type="character" w:customStyle="1" w:styleId="sea881cdf">
    <w:name w:val="sea881cdf"/>
    <w:rsid w:val="002922B9"/>
  </w:style>
  <w:style w:type="character" w:customStyle="1" w:styleId="s23c0e8e7">
    <w:name w:val="s23c0e8e7"/>
    <w:rsid w:val="00292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caption" w:semiHidden="1" w:qFormat="1"/>
    <w:lsdException w:name="annotation reference" w:uiPriority="0"/>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36750A"/>
    <w:pPr>
      <w:jc w:val="both"/>
    </w:pPr>
    <w:rPr>
      <w:rFonts w:eastAsiaTheme="minorEastAsia"/>
      <w:sz w:val="24"/>
      <w:lang w:val="en-US" w:eastAsia="en-US"/>
    </w:rPr>
  </w:style>
  <w:style w:type="paragraph" w:styleId="Heading1">
    <w:name w:val="heading 1"/>
    <w:basedOn w:val="Normal"/>
    <w:next w:val="Normal"/>
    <w:link w:val="Heading1Char"/>
    <w:uiPriority w:val="99"/>
    <w:semiHidden/>
    <w:rsid w:val="0036750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6750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6750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6750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6750A"/>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36750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6750A"/>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36750A"/>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36750A"/>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750A"/>
    <w:pPr>
      <w:tabs>
        <w:tab w:val="center" w:pos="4536"/>
        <w:tab w:val="right" w:pos="9072"/>
      </w:tabs>
    </w:pPr>
    <w:rPr>
      <w:rFonts w:eastAsiaTheme="minorHAnsi"/>
    </w:rPr>
  </w:style>
  <w:style w:type="paragraph" w:styleId="FootnoteText">
    <w:name w:val="footnote text"/>
    <w:basedOn w:val="Normal"/>
    <w:link w:val="FootnoteTextChar"/>
    <w:uiPriority w:val="99"/>
    <w:semiHidden/>
    <w:rsid w:val="0036750A"/>
    <w:rPr>
      <w:sz w:val="20"/>
      <w:szCs w:val="20"/>
    </w:rPr>
  </w:style>
  <w:style w:type="paragraph" w:styleId="Footer">
    <w:name w:val="footer"/>
    <w:basedOn w:val="Normal"/>
    <w:link w:val="FooterChar"/>
    <w:uiPriority w:val="99"/>
    <w:semiHidden/>
    <w:rsid w:val="0036750A"/>
    <w:pPr>
      <w:tabs>
        <w:tab w:val="center" w:pos="4536"/>
        <w:tab w:val="right" w:pos="9696"/>
      </w:tabs>
      <w:ind w:left="-680" w:right="-680"/>
    </w:pPr>
    <w:rPr>
      <w:rFonts w:eastAsiaTheme="minorHAnsi"/>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customStyle="1" w:styleId="Heading1Char">
    <w:name w:val="Heading 1 Char"/>
    <w:basedOn w:val="DefaultParagraphFont"/>
    <w:link w:val="Heading1"/>
    <w:uiPriority w:val="99"/>
    <w:rsid w:val="0036750A"/>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rsid w:val="0036750A"/>
    <w:rPr>
      <w:rFonts w:asciiTheme="majorHAnsi" w:eastAsiaTheme="majorEastAsia" w:hAnsiTheme="majorHAnsi" w:cstheme="majorBidi"/>
      <w:b/>
      <w:bCs/>
      <w:color w:val="4D4D4D"/>
      <w:sz w:val="26"/>
      <w:szCs w:val="26"/>
      <w:lang w:val="en-US" w:eastAsia="en-US"/>
    </w:rPr>
  </w:style>
  <w:style w:type="character" w:styleId="FootnoteReference">
    <w:name w:val="footnote reference"/>
    <w:basedOn w:val="DefaultParagraphFont"/>
    <w:uiPriority w:val="99"/>
    <w:semiHidden/>
    <w:rsid w:val="0036750A"/>
    <w:rPr>
      <w:vertAlign w:val="superscript"/>
    </w:rPr>
  </w:style>
  <w:style w:type="character" w:customStyle="1" w:styleId="Heading3Char">
    <w:name w:val="Heading 3 Char"/>
    <w:basedOn w:val="DefaultParagraphFont"/>
    <w:link w:val="Heading3"/>
    <w:uiPriority w:val="99"/>
    <w:rsid w:val="0036750A"/>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36750A"/>
    <w:rPr>
      <w:rFonts w:asciiTheme="majorHAnsi" w:eastAsiaTheme="majorEastAsia" w:hAnsiTheme="majorHAnsi" w:cstheme="majorBidi"/>
      <w:b/>
      <w:bCs/>
      <w:i/>
      <w:iCs/>
      <w:color w:val="777777"/>
      <w:sz w:val="24"/>
      <w:lang w:val="en-US" w:eastAsia="en-US"/>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uiPriority w:val="99"/>
    <w:semiHidden/>
    <w:rPr>
      <w:sz w:val="20"/>
    </w:rPr>
  </w:style>
  <w:style w:type="character" w:customStyle="1" w:styleId="Heading6Char">
    <w:name w:val="Heading 6 Char"/>
    <w:basedOn w:val="DefaultParagraphFont"/>
    <w:link w:val="Heading6"/>
    <w:uiPriority w:val="99"/>
    <w:rsid w:val="0036750A"/>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36750A"/>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36750A"/>
  </w:style>
  <w:style w:type="paragraph" w:customStyle="1" w:styleId="ECHRPara">
    <w:name w:val="ECHR_Para"/>
    <w:aliases w:val="Ju_Para,Left,First line:  0 cm"/>
    <w:basedOn w:val="Normal"/>
    <w:link w:val="JuParaCar"/>
    <w:uiPriority w:val="12"/>
    <w:qFormat/>
    <w:rsid w:val="0036750A"/>
    <w:pPr>
      <w:ind w:firstLine="284"/>
    </w:pPr>
    <w:rPr>
      <w:lang w:val="fr-FR" w:eastAsia="fr-FR"/>
    </w:rPr>
  </w:style>
  <w:style w:type="paragraph" w:customStyle="1" w:styleId="ECHRFooterLine">
    <w:name w:val="ECHR_Footer_Line"/>
    <w:aliases w:val="Footer_Line"/>
    <w:basedOn w:val="Normal"/>
    <w:next w:val="ECHRFooter"/>
    <w:uiPriority w:val="57"/>
    <w:semiHidden/>
    <w:rsid w:val="0036750A"/>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36750A"/>
    <w:rPr>
      <w:sz w:val="24"/>
      <w:lang w:val="en-US" w:eastAsia="en-US"/>
    </w:rPr>
  </w:style>
  <w:style w:type="paragraph" w:customStyle="1" w:styleId="ECHRHeader">
    <w:name w:val="ECHR_Header"/>
    <w:aliases w:val="Ju_Header"/>
    <w:basedOn w:val="Header"/>
    <w:uiPriority w:val="4"/>
    <w:qFormat/>
    <w:rsid w:val="0036750A"/>
    <w:pPr>
      <w:tabs>
        <w:tab w:val="clear" w:pos="4536"/>
        <w:tab w:val="clear" w:pos="9072"/>
        <w:tab w:val="center" w:pos="3686"/>
        <w:tab w:val="right" w:pos="7371"/>
      </w:tabs>
      <w:jc w:val="left"/>
    </w:pPr>
    <w:rPr>
      <w:sz w:val="18"/>
      <w:lang w:val="fr-FR" w:eastAsia="fr-FR"/>
    </w:rPr>
  </w:style>
  <w:style w:type="character" w:customStyle="1" w:styleId="FootnoteTextChar">
    <w:name w:val="Footnote Text Char"/>
    <w:basedOn w:val="DefaultParagraphFont"/>
    <w:link w:val="FootnoteText"/>
    <w:uiPriority w:val="99"/>
    <w:semiHidden/>
    <w:rsid w:val="0036750A"/>
    <w:rPr>
      <w:rFonts w:eastAsiaTheme="minorEastAsia"/>
      <w:sz w:val="20"/>
      <w:szCs w:val="20"/>
      <w:lang w:val="en-US" w:eastAsia="en-US"/>
    </w:rPr>
  </w:style>
  <w:style w:type="paragraph" w:customStyle="1" w:styleId="JuAppQuestion">
    <w:name w:val="Ju_App_Question"/>
    <w:basedOn w:val="Normal"/>
    <w:qFormat/>
    <w:rsid w:val="0036750A"/>
    <w:pPr>
      <w:numPr>
        <w:numId w:val="2"/>
      </w:numPr>
      <w:jc w:val="left"/>
    </w:pPr>
    <w:rPr>
      <w:b/>
      <w:lang w:val="fr-FR" w:eastAsia="fr-FR"/>
    </w:rPr>
  </w:style>
  <w:style w:type="paragraph" w:customStyle="1" w:styleId="OpiPara">
    <w:name w:val="Opi_Para"/>
    <w:basedOn w:val="ECHRPara"/>
    <w:uiPriority w:val="46"/>
    <w:semiHidden/>
    <w:qFormat/>
    <w:rsid w:val="0036750A"/>
  </w:style>
  <w:style w:type="paragraph" w:customStyle="1" w:styleId="ECHRParaQuote">
    <w:name w:val="ECHR_Para_Quote"/>
    <w:aliases w:val="Ju_Quot"/>
    <w:basedOn w:val="Normal"/>
    <w:link w:val="JuQuotChar"/>
    <w:qFormat/>
    <w:rsid w:val="0036750A"/>
    <w:pPr>
      <w:spacing w:before="120" w:after="120"/>
      <w:ind w:left="425" w:firstLine="142"/>
    </w:pPr>
    <w:rPr>
      <w:sz w:val="20"/>
      <w:lang w:val="fr-FR" w:eastAsia="fr-FR"/>
    </w:rPr>
  </w:style>
  <w:style w:type="paragraph" w:customStyle="1" w:styleId="JuParaSub">
    <w:name w:val="Ju_Para_Sub"/>
    <w:basedOn w:val="ECHRPara"/>
    <w:uiPriority w:val="13"/>
    <w:qFormat/>
    <w:rsid w:val="0036750A"/>
    <w:pPr>
      <w:ind w:left="284"/>
    </w:pPr>
  </w:style>
  <w:style w:type="paragraph" w:customStyle="1" w:styleId="OpiParaSub">
    <w:name w:val="Opi_Para_Sub"/>
    <w:basedOn w:val="JuParaSub"/>
    <w:uiPriority w:val="47"/>
    <w:semiHidden/>
    <w:qFormat/>
    <w:rsid w:val="0036750A"/>
  </w:style>
  <w:style w:type="paragraph" w:customStyle="1" w:styleId="JuSigned">
    <w:name w:val="Ju_Signed"/>
    <w:basedOn w:val="Normal"/>
    <w:next w:val="JuParaLast"/>
    <w:uiPriority w:val="32"/>
    <w:qFormat/>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48"/>
    <w:semiHidden/>
    <w:qFormat/>
    <w:rsid w:val="0036750A"/>
  </w:style>
  <w:style w:type="paragraph" w:customStyle="1" w:styleId="OpiQuotSub">
    <w:name w:val="Opi_Quot_Sub"/>
    <w:basedOn w:val="JuQuotSub"/>
    <w:uiPriority w:val="49"/>
    <w:semiHidden/>
    <w:qFormat/>
    <w:rsid w:val="0036750A"/>
  </w:style>
  <w:style w:type="table" w:styleId="TableGrid">
    <w:name w:val="Table Grid"/>
    <w:basedOn w:val="TableNormal"/>
    <w:uiPriority w:val="99"/>
    <w:semiHidden/>
    <w:rsid w:val="0036750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uiPriority w:val="99"/>
    <w:semiHidden/>
    <w:rsid w:val="0011604E"/>
    <w:pPr>
      <w:shd w:val="clear" w:color="auto" w:fill="000080"/>
    </w:pPr>
    <w:rPr>
      <w:rFonts w:ascii="Tahoma" w:hAnsi="Tahoma" w:cs="Tahoma"/>
      <w:sz w:val="20"/>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27"/>
    <w:qFormat/>
    <w:rsid w:val="0036750A"/>
    <w:pPr>
      <w:keepNext/>
      <w:keepLines/>
      <w:spacing w:before="240" w:after="120"/>
      <w:jc w:val="center"/>
      <w:outlineLvl w:val="3"/>
    </w:pPr>
    <w:rPr>
      <w:rFonts w:asciiTheme="majorHAnsi" w:hAnsiTheme="majorHAnsi"/>
      <w:b/>
      <w:sz w:val="20"/>
      <w:lang w:val="fr-FR" w:eastAsia="fr-FR" w:bidi="en-US"/>
    </w:rPr>
  </w:style>
  <w:style w:type="paragraph" w:customStyle="1" w:styleId="JuTitle">
    <w:name w:val="Ju_Title"/>
    <w:basedOn w:val="Normal"/>
    <w:next w:val="ECHRPara"/>
    <w:uiPriority w:val="3"/>
    <w:qFormat/>
    <w:rsid w:val="0036750A"/>
    <w:pPr>
      <w:spacing w:before="720" w:after="240"/>
      <w:jc w:val="center"/>
      <w:outlineLvl w:val="0"/>
    </w:pPr>
    <w:rPr>
      <w:rFonts w:asciiTheme="majorHAnsi" w:hAnsiTheme="majorHAnsi"/>
      <w:b/>
      <w:caps/>
      <w:lang w:val="fr-FR" w:eastAsia="fr-FR"/>
    </w:rPr>
  </w:style>
  <w:style w:type="paragraph" w:customStyle="1" w:styleId="ECHRTitleCentre1">
    <w:name w:val="ECHR_Title_Centre_1"/>
    <w:aliases w:val="Opi_H_Head"/>
    <w:basedOn w:val="Normal"/>
    <w:next w:val="OpiPara"/>
    <w:uiPriority w:val="39"/>
    <w:semiHidden/>
    <w:qFormat/>
    <w:rsid w:val="0036750A"/>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uiPriority w:val="10"/>
    <w:semiHidden/>
    <w:rsid w:val="0036750A"/>
    <w:pPr>
      <w:ind w:firstLine="284"/>
    </w:pPr>
    <w:rPr>
      <w:b/>
    </w:rPr>
  </w:style>
  <w:style w:type="paragraph" w:customStyle="1" w:styleId="JuQuotSub">
    <w:name w:val="Ju_Quot_Sub"/>
    <w:basedOn w:val="ECHRParaQuote"/>
    <w:uiPriority w:val="15"/>
    <w:qFormat/>
    <w:rsid w:val="0036750A"/>
    <w:pPr>
      <w:ind w:left="567"/>
    </w:pPr>
  </w:style>
  <w:style w:type="paragraph" w:customStyle="1" w:styleId="ECHRTitle1">
    <w:name w:val="ECHR_Title_1"/>
    <w:aliases w:val="Ju_H_Head"/>
    <w:basedOn w:val="Normal"/>
    <w:next w:val="ECHRPara"/>
    <w:link w:val="JuHHeadChar"/>
    <w:qFormat/>
    <w:rsid w:val="0036750A"/>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uiPriority w:val="31"/>
    <w:qFormat/>
    <w:rsid w:val="0036750A"/>
    <w:pPr>
      <w:tabs>
        <w:tab w:val="center" w:pos="6407"/>
      </w:tabs>
      <w:spacing w:before="720"/>
      <w:jc w:val="right"/>
    </w:pPr>
    <w:rPr>
      <w:lang w:val="fr-FR" w:eastAsia="fr-FR"/>
    </w:rPr>
  </w:style>
  <w:style w:type="paragraph" w:customStyle="1" w:styleId="DecHTitle">
    <w:name w:val="Dec_H_Title"/>
    <w:basedOn w:val="ECHRTitleCentre1"/>
    <w:uiPriority w:val="7"/>
    <w:qFormat/>
    <w:rsid w:val="0036750A"/>
  </w:style>
  <w:style w:type="paragraph" w:customStyle="1" w:styleId="ECHRTitleCentre2">
    <w:name w:val="ECHR_Title_Centre_2"/>
    <w:aliases w:val="Dec_H_Case"/>
    <w:basedOn w:val="Normal"/>
    <w:next w:val="ECHRPara"/>
    <w:uiPriority w:val="8"/>
    <w:qFormat/>
    <w:rsid w:val="0036750A"/>
    <w:pPr>
      <w:spacing w:after="240"/>
      <w:jc w:val="center"/>
      <w:outlineLvl w:val="0"/>
    </w:pPr>
    <w:rPr>
      <w:rFonts w:asciiTheme="majorHAnsi" w:hAnsiTheme="majorHAnsi"/>
      <w:lang w:val="fr-FR" w:eastAsia="fr-FR"/>
    </w:rPr>
  </w:style>
  <w:style w:type="paragraph" w:customStyle="1" w:styleId="OpiHA">
    <w:name w:val="Opi_H_A"/>
    <w:basedOn w:val="ECHRHeading1"/>
    <w:next w:val="OpiPara"/>
    <w:uiPriority w:val="41"/>
    <w:semiHidden/>
    <w:qFormat/>
    <w:rsid w:val="0036750A"/>
    <w:pPr>
      <w:tabs>
        <w:tab w:val="clear" w:pos="357"/>
      </w:tabs>
      <w:outlineLvl w:val="1"/>
    </w:pPr>
    <w:rPr>
      <w:b/>
    </w:rPr>
  </w:style>
  <w:style w:type="character" w:customStyle="1" w:styleId="JUNAMES">
    <w:name w:val="JU_NAMES"/>
    <w:uiPriority w:val="17"/>
    <w:qFormat/>
    <w:rsid w:val="0036750A"/>
    <w:rPr>
      <w:caps w:val="0"/>
      <w:smallCaps/>
    </w:rPr>
  </w:style>
  <w:style w:type="paragraph" w:customStyle="1" w:styleId="OpiTranslation">
    <w:name w:val="Opi_Translation"/>
    <w:basedOn w:val="Normal"/>
    <w:next w:val="OpiPara"/>
    <w:uiPriority w:val="40"/>
    <w:semiHidden/>
    <w:qFormat/>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36750A"/>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uiPriority w:val="19"/>
    <w:qFormat/>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qFormat/>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qFormat/>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uiPriority w:val="99"/>
    <w:semiHidden/>
    <w:rsid w:val="000903DC"/>
    <w:rPr>
      <w:sz w:val="20"/>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color w:val="0072BC" w:themeColor="hyperlink"/>
      <w:u w:val="single"/>
    </w:rPr>
  </w:style>
  <w:style w:type="paragraph" w:customStyle="1" w:styleId="ECHRHeading5">
    <w:name w:val="ECHR_Heading_5"/>
    <w:aliases w:val="Ju_H_i"/>
    <w:basedOn w:val="Heading5"/>
    <w:next w:val="ECHRPara"/>
    <w:uiPriority w:val="23"/>
    <w:qFormat/>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
      </w:numPr>
    </w:pPr>
  </w:style>
  <w:style w:type="paragraph" w:customStyle="1" w:styleId="ECHRHeading7">
    <w:name w:val="ECHR_Heading_7"/>
    <w:aliases w:val="Ju_H_–"/>
    <w:basedOn w:val="Heading7"/>
    <w:next w:val="ECHRPara"/>
    <w:uiPriority w:val="25"/>
    <w:qFormat/>
    <w:rsid w:val="0036750A"/>
    <w:pPr>
      <w:keepNext/>
      <w:keepLines/>
      <w:spacing w:before="240" w:after="120"/>
      <w:ind w:left="1236"/>
    </w:pPr>
    <w:rPr>
      <w:sz w:val="20"/>
    </w:rPr>
  </w:style>
  <w:style w:type="character" w:customStyle="1" w:styleId="JuITMark">
    <w:name w:val="Ju_ITMark"/>
    <w:basedOn w:val="DefaultParagraphFont"/>
    <w:uiPriority w:val="38"/>
    <w:qFormat/>
    <w:rsid w:val="0036750A"/>
    <w:rPr>
      <w:vanish/>
      <w:color w:val="339966"/>
      <w:sz w:val="14"/>
    </w:rPr>
  </w:style>
  <w:style w:type="paragraph" w:customStyle="1" w:styleId="JuParaLast">
    <w:name w:val="Ju_Para_Last"/>
    <w:basedOn w:val="Normal"/>
    <w:next w:val="ECHRPara"/>
    <w:qFormat/>
    <w:rsid w:val="0036750A"/>
    <w:pPr>
      <w:keepNext/>
      <w:keepLines/>
      <w:spacing w:before="240"/>
      <w:ind w:firstLine="284"/>
    </w:pPr>
    <w:rPr>
      <w:lang w:val="fr-FR" w:eastAsia="fr-FR"/>
    </w:rPr>
  </w:style>
  <w:style w:type="paragraph" w:customStyle="1" w:styleId="DecList">
    <w:name w:val="Dec_List"/>
    <w:basedOn w:val="Normal"/>
    <w:qFormat/>
    <w:rsid w:val="0036750A"/>
    <w:pPr>
      <w:spacing w:before="240"/>
      <w:ind w:left="284"/>
    </w:pPr>
    <w:rPr>
      <w:lang w:val="fr-FR" w:eastAsia="fr-FR"/>
    </w:rPr>
  </w:style>
  <w:style w:type="paragraph" w:customStyle="1" w:styleId="ECHRDecisionBody">
    <w:name w:val="ECHR_Decision_Body"/>
    <w:aliases w:val="Ju_Judges"/>
    <w:basedOn w:val="Normal"/>
    <w:link w:val="JuJudgesChar"/>
    <w:qFormat/>
    <w:rsid w:val="0036750A"/>
    <w:pPr>
      <w:tabs>
        <w:tab w:val="left" w:pos="567"/>
        <w:tab w:val="left" w:pos="1134"/>
      </w:tabs>
      <w:jc w:val="left"/>
    </w:pPr>
    <w:rPr>
      <w:lang w:val="fr-FR" w:eastAsia="fr-FR"/>
    </w:rPr>
  </w:style>
  <w:style w:type="paragraph" w:customStyle="1" w:styleId="JuList">
    <w:name w:val="Ju_List"/>
    <w:basedOn w:val="Normal"/>
    <w:uiPriority w:val="28"/>
    <w:qFormat/>
    <w:rsid w:val="0036750A"/>
    <w:pPr>
      <w:ind w:left="340" w:hanging="340"/>
    </w:pPr>
    <w:rPr>
      <w:lang w:val="fr-FR" w:eastAsia="fr-FR"/>
    </w:rPr>
  </w:style>
  <w:style w:type="paragraph" w:customStyle="1" w:styleId="JuLista">
    <w:name w:val="Ju_List_a"/>
    <w:basedOn w:val="JuList"/>
    <w:uiPriority w:val="28"/>
    <w:qFormat/>
    <w:rsid w:val="0036750A"/>
    <w:pPr>
      <w:ind w:left="346" w:firstLine="0"/>
    </w:pPr>
  </w:style>
  <w:style w:type="character" w:styleId="PlaceholderText">
    <w:name w:val="Placeholder Text"/>
    <w:basedOn w:val="DefaultParagraphFont"/>
    <w:uiPriority w:val="99"/>
    <w:semiHidden/>
    <w:rsid w:val="00F24036"/>
    <w:rPr>
      <w:color w:val="808080"/>
    </w:rPr>
  </w:style>
  <w:style w:type="character" w:customStyle="1" w:styleId="FooterChar">
    <w:name w:val="Footer Char"/>
    <w:basedOn w:val="DefaultParagraphFont"/>
    <w:link w:val="Footer"/>
    <w:uiPriority w:val="57"/>
    <w:rsid w:val="0036750A"/>
    <w:rPr>
      <w:sz w:val="24"/>
      <w:lang w:val="en-US" w:eastAsia="en-US"/>
    </w:rPr>
  </w:style>
  <w:style w:type="paragraph" w:customStyle="1" w:styleId="JuListi">
    <w:name w:val="Ju_List_i"/>
    <w:basedOn w:val="Normal"/>
    <w:next w:val="JuLista"/>
    <w:uiPriority w:val="28"/>
    <w:qFormat/>
    <w:rsid w:val="0036750A"/>
    <w:pPr>
      <w:ind w:left="794"/>
    </w:pPr>
    <w:rPr>
      <w:lang w:val="fr-FR" w:eastAsia="fr-FR"/>
    </w:rPr>
  </w:style>
  <w:style w:type="paragraph" w:customStyle="1" w:styleId="OpiH1">
    <w:name w:val="Opi_H_1"/>
    <w:basedOn w:val="ECHRHeading2"/>
    <w:uiPriority w:val="42"/>
    <w:semiHidden/>
    <w:qFormat/>
    <w:rsid w:val="0036750A"/>
    <w:pPr>
      <w:ind w:left="635" w:hanging="357"/>
      <w:outlineLvl w:val="2"/>
    </w:pPr>
  </w:style>
  <w:style w:type="character" w:customStyle="1" w:styleId="Heading5Char">
    <w:name w:val="Heading 5 Char"/>
    <w:basedOn w:val="DefaultParagraphFont"/>
    <w:link w:val="Heading5"/>
    <w:uiPriority w:val="99"/>
    <w:rsid w:val="0036750A"/>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36750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36750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36750A"/>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36750A"/>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36750A"/>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36750A"/>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36750A"/>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36750A"/>
    <w:rPr>
      <w:b/>
      <w:bCs/>
    </w:rPr>
  </w:style>
  <w:style w:type="character" w:styleId="Emphasis">
    <w:name w:val="Emphasis"/>
    <w:uiPriority w:val="99"/>
    <w:semiHidden/>
    <w:qFormat/>
    <w:rsid w:val="0036750A"/>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36750A"/>
    <w:rPr>
      <w:sz w:val="22"/>
      <w:lang w:val="fr-FR" w:eastAsia="fr-FR"/>
    </w:rPr>
  </w:style>
  <w:style w:type="character" w:customStyle="1" w:styleId="NoSpacingChar">
    <w:name w:val="No Spacing Char"/>
    <w:basedOn w:val="DefaultParagraphFont"/>
    <w:link w:val="NoSpacing"/>
    <w:rsid w:val="0036750A"/>
    <w:rPr>
      <w:rFonts w:eastAsiaTheme="minorEastAsia"/>
    </w:rPr>
  </w:style>
  <w:style w:type="paragraph" w:styleId="ListParagraph">
    <w:name w:val="List Paragraph"/>
    <w:basedOn w:val="Normal"/>
    <w:uiPriority w:val="99"/>
    <w:semiHidden/>
    <w:qFormat/>
    <w:rsid w:val="0036750A"/>
    <w:pPr>
      <w:ind w:left="720"/>
      <w:contextualSpacing/>
    </w:pPr>
    <w:rPr>
      <w:lang w:val="fr-FR" w:eastAsia="fr-FR"/>
    </w:rPr>
  </w:style>
  <w:style w:type="paragraph" w:styleId="Quote">
    <w:name w:val="Quote"/>
    <w:basedOn w:val="Normal"/>
    <w:next w:val="Normal"/>
    <w:link w:val="QuoteChar"/>
    <w:uiPriority w:val="99"/>
    <w:semiHidden/>
    <w:qFormat/>
    <w:rsid w:val="0036750A"/>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36750A"/>
    <w:rPr>
      <w:rFonts w:eastAsiaTheme="minorEastAsia"/>
      <w:i/>
      <w:iCs/>
      <w:lang w:bidi="en-US"/>
    </w:rPr>
  </w:style>
  <w:style w:type="paragraph" w:styleId="IntenseQuote">
    <w:name w:val="Intense Quote"/>
    <w:basedOn w:val="Normal"/>
    <w:next w:val="Normal"/>
    <w:link w:val="IntenseQuoteChar"/>
    <w:uiPriority w:val="99"/>
    <w:semiHidden/>
    <w:qFormat/>
    <w:rsid w:val="0036750A"/>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36750A"/>
    <w:rPr>
      <w:rFonts w:eastAsiaTheme="minorEastAsia"/>
      <w:b/>
      <w:bCs/>
      <w:i/>
      <w:iCs/>
      <w:lang w:bidi="en-US"/>
    </w:rPr>
  </w:style>
  <w:style w:type="character" w:styleId="SubtleEmphasis">
    <w:name w:val="Subtle Emphasis"/>
    <w:uiPriority w:val="99"/>
    <w:semiHidden/>
    <w:qFormat/>
    <w:rsid w:val="0036750A"/>
    <w:rPr>
      <w:i/>
      <w:iCs/>
    </w:rPr>
  </w:style>
  <w:style w:type="character" w:styleId="IntenseEmphasis">
    <w:name w:val="Intense Emphasis"/>
    <w:uiPriority w:val="99"/>
    <w:semiHidden/>
    <w:qFormat/>
    <w:rsid w:val="0036750A"/>
    <w:rPr>
      <w:b/>
      <w:bCs/>
    </w:rPr>
  </w:style>
  <w:style w:type="character" w:styleId="SubtleReference">
    <w:name w:val="Subtle Reference"/>
    <w:uiPriority w:val="99"/>
    <w:semiHidden/>
    <w:qFormat/>
    <w:rsid w:val="0036750A"/>
    <w:rPr>
      <w:smallCaps/>
    </w:rPr>
  </w:style>
  <w:style w:type="character" w:styleId="IntenseReference">
    <w:name w:val="Intense Reference"/>
    <w:uiPriority w:val="99"/>
    <w:semiHidden/>
    <w:qFormat/>
    <w:rsid w:val="0036750A"/>
    <w:rPr>
      <w:smallCaps/>
      <w:spacing w:val="5"/>
      <w:u w:val="single"/>
    </w:rPr>
  </w:style>
  <w:style w:type="character" w:styleId="BookTitle">
    <w:name w:val="Book Title"/>
    <w:uiPriority w:val="99"/>
    <w:semiHidden/>
    <w:qFormat/>
    <w:rsid w:val="0036750A"/>
    <w:rPr>
      <w:i/>
      <w:iCs/>
      <w:smallCaps/>
      <w:spacing w:val="5"/>
    </w:rPr>
  </w:style>
  <w:style w:type="paragraph" w:styleId="TOCHeading">
    <w:name w:val="TOC Heading"/>
    <w:basedOn w:val="Heading1"/>
    <w:next w:val="Normal"/>
    <w:uiPriority w:val="99"/>
    <w:semiHidden/>
    <w:qFormat/>
    <w:rsid w:val="0036750A"/>
    <w:pPr>
      <w:outlineLvl w:val="9"/>
    </w:pPr>
    <w:rPr>
      <w:color w:val="474747" w:themeColor="accent3" w:themeShade="BF"/>
      <w:lang w:val="fr-FR" w:eastAsia="fr-FR"/>
    </w:rPr>
  </w:style>
  <w:style w:type="paragraph" w:customStyle="1" w:styleId="OpiHa0">
    <w:name w:val="Opi_H_a"/>
    <w:basedOn w:val="ECHRHeading3"/>
    <w:uiPriority w:val="43"/>
    <w:semiHidden/>
    <w:qFormat/>
    <w:rsid w:val="0036750A"/>
    <w:pPr>
      <w:ind w:left="833" w:hanging="357"/>
      <w:outlineLvl w:val="3"/>
    </w:pPr>
    <w:rPr>
      <w:b/>
      <w:i w:val="0"/>
      <w:sz w:val="20"/>
    </w:rPr>
  </w:style>
  <w:style w:type="paragraph" w:customStyle="1" w:styleId="OpiHi">
    <w:name w:val="Opi_H_i"/>
    <w:basedOn w:val="ECHRHeading4"/>
    <w:uiPriority w:val="44"/>
    <w:semiHidden/>
    <w:qFormat/>
    <w:rsid w:val="0036750A"/>
    <w:pPr>
      <w:ind w:left="1037" w:hanging="357"/>
      <w:outlineLvl w:val="4"/>
    </w:pPr>
    <w:rPr>
      <w:b w:val="0"/>
      <w:i/>
    </w:rPr>
  </w:style>
  <w:style w:type="numbering" w:styleId="111111">
    <w:name w:val="Outline List 2"/>
    <w:basedOn w:val="NoList"/>
    <w:uiPriority w:val="99"/>
    <w:semiHidden/>
    <w:rsid w:val="0036750A"/>
    <w:pPr>
      <w:numPr>
        <w:numId w:val="3"/>
      </w:numPr>
    </w:pPr>
  </w:style>
  <w:style w:type="numbering" w:styleId="1ai">
    <w:name w:val="Outline List 1"/>
    <w:basedOn w:val="NoList"/>
    <w:uiPriority w:val="99"/>
    <w:semiHidden/>
    <w:rsid w:val="0036750A"/>
    <w:pPr>
      <w:numPr>
        <w:numId w:val="4"/>
      </w:numPr>
    </w:pPr>
  </w:style>
  <w:style w:type="numbering" w:styleId="ArticleSection">
    <w:name w:val="Outline List 3"/>
    <w:basedOn w:val="NoList"/>
    <w:uiPriority w:val="99"/>
    <w:semiHidden/>
    <w:rsid w:val="0036750A"/>
    <w:pPr>
      <w:numPr>
        <w:numId w:val="5"/>
      </w:numPr>
    </w:pPr>
  </w:style>
  <w:style w:type="paragraph" w:styleId="Bibliography">
    <w:name w:val="Bibliography"/>
    <w:basedOn w:val="Normal"/>
    <w:next w:val="Normal"/>
    <w:uiPriority w:val="99"/>
    <w:semiHidden/>
    <w:unhideWhenUsed/>
    <w:rsid w:val="0036750A"/>
  </w:style>
  <w:style w:type="paragraph" w:styleId="BlockText">
    <w:name w:val="Block Text"/>
    <w:basedOn w:val="Normal"/>
    <w:uiPriority w:val="99"/>
    <w:semiHidden/>
    <w:rsid w:val="0036750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rsid w:val="0036750A"/>
    <w:rPr>
      <w:rFonts w:eastAsiaTheme="minorEastAsia"/>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rsid w:val="0036750A"/>
    <w:rPr>
      <w:rFonts w:eastAsiaTheme="minorEastAsia"/>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rsid w:val="0036750A"/>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rsid w:val="0036750A"/>
    <w:rPr>
      <w:rFonts w:eastAsiaTheme="minorEastAsia"/>
      <w:sz w:val="24"/>
      <w:lang w:val="en-US" w:eastAsia="en-US"/>
    </w:rPr>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rsid w:val="0036750A"/>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rsid w:val="0036750A"/>
    <w:rPr>
      <w:rFonts w:eastAsiaTheme="minorEastAsia"/>
      <w:sz w:val="24"/>
      <w:lang w:val="en-US" w:eastAsia="en-US"/>
    </w:rPr>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rsid w:val="0036750A"/>
    <w:rPr>
      <w:rFonts w:eastAsiaTheme="minorEastAsia"/>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rsid w:val="0036750A"/>
    <w:rPr>
      <w:rFonts w:eastAsiaTheme="minorEastAsia"/>
      <w:sz w:val="16"/>
      <w:szCs w:val="16"/>
      <w:lang w:val="en-US" w:eastAsia="en-US"/>
    </w:rPr>
  </w:style>
  <w:style w:type="paragraph" w:styleId="Caption">
    <w:name w:val="caption"/>
    <w:basedOn w:val="Normal"/>
    <w:next w:val="Normal"/>
    <w:uiPriority w:val="99"/>
    <w:semiHidden/>
    <w:qFormat/>
    <w:rsid w:val="0036750A"/>
    <w:pPr>
      <w:spacing w:after="200"/>
    </w:pPr>
    <w:rPr>
      <w:b/>
      <w:bCs/>
      <w:color w:val="0072BC" w:themeColor="accent1"/>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rsid w:val="0036750A"/>
    <w:rPr>
      <w:rFonts w:eastAsiaTheme="minorEastAsia"/>
      <w:sz w:val="24"/>
      <w:lang w:val="en-US" w:eastAsia="en-US"/>
    </w:rPr>
  </w:style>
  <w:style w:type="table" w:styleId="ColorfulGrid">
    <w:name w:val="Colorful Grid"/>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36750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36750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36750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36750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TextChar">
    <w:name w:val="Comment Text Char"/>
    <w:basedOn w:val="DefaultParagraphFont"/>
    <w:link w:val="CommentText"/>
    <w:semiHidden/>
    <w:rsid w:val="0036750A"/>
    <w:rPr>
      <w:rFonts w:eastAsiaTheme="minorEastAsia"/>
      <w:sz w:val="20"/>
      <w:lang w:val="en-US" w:eastAsia="en-US"/>
    </w:rPr>
  </w:style>
  <w:style w:type="character" w:customStyle="1" w:styleId="CommentSubjectChar">
    <w:name w:val="Comment Subject Char"/>
    <w:basedOn w:val="CommentTextChar"/>
    <w:link w:val="CommentSubject"/>
    <w:rsid w:val="0036750A"/>
    <w:rPr>
      <w:rFonts w:eastAsiaTheme="minorEastAsia"/>
      <w:b/>
      <w:bCs/>
      <w:sz w:val="20"/>
      <w:szCs w:val="20"/>
      <w:lang w:val="en-US" w:eastAsia="en-US"/>
    </w:rPr>
  </w:style>
  <w:style w:type="table" w:styleId="DarkList">
    <w:name w:val="Dark List"/>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rsid w:val="0036750A"/>
    <w:rPr>
      <w:rFonts w:eastAsiaTheme="minorEastAsia"/>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rsid w:val="0036750A"/>
    <w:rPr>
      <w:rFonts w:eastAsiaTheme="minorEastAsia"/>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36750A"/>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36750A"/>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rsid w:val="0036750A"/>
    <w:rPr>
      <w:rFonts w:eastAsiaTheme="minorEastAsia"/>
      <w:i/>
      <w:iCs/>
      <w:sz w:val="24"/>
      <w:lang w:val="en-US" w:eastAsia="en-US"/>
    </w:rPr>
  </w:style>
  <w:style w:type="character" w:styleId="HTMLCite">
    <w:name w:val="HTML Cite"/>
    <w:basedOn w:val="DefaultParagraphFont"/>
    <w:uiPriority w:val="99"/>
    <w:semiHidden/>
    <w:rsid w:val="0036750A"/>
    <w:rPr>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rsid w:val="0036750A"/>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asciiTheme="majorHAnsi" w:eastAsiaTheme="majorEastAsia" w:hAnsiTheme="majorHAnsi" w:cstheme="majorBidi"/>
      <w:b/>
      <w:bCs/>
    </w:rPr>
  </w:style>
  <w:style w:type="table" w:styleId="LightGrid">
    <w:name w:val="Light Grid"/>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3675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36750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36750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36750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36750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36750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36750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36750A"/>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6"/>
      </w:numPr>
      <w:contextualSpacing/>
    </w:pPr>
  </w:style>
  <w:style w:type="paragraph" w:styleId="ListBullet3">
    <w:name w:val="List Bullet 3"/>
    <w:basedOn w:val="Normal"/>
    <w:uiPriority w:val="99"/>
    <w:semiHidden/>
    <w:rsid w:val="0036750A"/>
    <w:pPr>
      <w:numPr>
        <w:numId w:val="7"/>
      </w:numPr>
      <w:contextualSpacing/>
    </w:pPr>
  </w:style>
  <w:style w:type="paragraph" w:styleId="ListBullet4">
    <w:name w:val="List Bullet 4"/>
    <w:basedOn w:val="Normal"/>
    <w:uiPriority w:val="99"/>
    <w:semiHidden/>
    <w:rsid w:val="0036750A"/>
    <w:pPr>
      <w:numPr>
        <w:numId w:val="8"/>
      </w:numPr>
      <w:contextualSpacing/>
    </w:pPr>
  </w:style>
  <w:style w:type="paragraph" w:styleId="ListBullet5">
    <w:name w:val="List Bullet 5"/>
    <w:basedOn w:val="Normal"/>
    <w:uiPriority w:val="99"/>
    <w:semiHidden/>
    <w:rsid w:val="0036750A"/>
    <w:pPr>
      <w:numPr>
        <w:numId w:val="9"/>
      </w:numPr>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10"/>
      </w:numPr>
      <w:contextualSpacing/>
    </w:pPr>
  </w:style>
  <w:style w:type="paragraph" w:styleId="ListNumber2">
    <w:name w:val="List Number 2"/>
    <w:basedOn w:val="Normal"/>
    <w:uiPriority w:val="99"/>
    <w:semiHidden/>
    <w:rsid w:val="0036750A"/>
    <w:pPr>
      <w:numPr>
        <w:numId w:val="11"/>
      </w:numPr>
      <w:contextualSpacing/>
    </w:pPr>
  </w:style>
  <w:style w:type="paragraph" w:styleId="ListNumber3">
    <w:name w:val="List Number 3"/>
    <w:basedOn w:val="Normal"/>
    <w:uiPriority w:val="99"/>
    <w:semiHidden/>
    <w:rsid w:val="0036750A"/>
    <w:pPr>
      <w:numPr>
        <w:numId w:val="12"/>
      </w:numPr>
      <w:contextualSpacing/>
    </w:pPr>
  </w:style>
  <w:style w:type="paragraph" w:styleId="ListNumber4">
    <w:name w:val="List Number 4"/>
    <w:basedOn w:val="Normal"/>
    <w:uiPriority w:val="99"/>
    <w:semiHidden/>
    <w:rsid w:val="0036750A"/>
    <w:pPr>
      <w:numPr>
        <w:numId w:val="13"/>
      </w:numPr>
      <w:contextualSpacing/>
    </w:pPr>
  </w:style>
  <w:style w:type="paragraph" w:styleId="ListNumber5">
    <w:name w:val="List Number 5"/>
    <w:basedOn w:val="Normal"/>
    <w:uiPriority w:val="99"/>
    <w:semiHidden/>
    <w:rsid w:val="0036750A"/>
    <w:pPr>
      <w:numPr>
        <w:numId w:val="14"/>
      </w:numPr>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36750A"/>
    <w:rPr>
      <w:rFonts w:ascii="Consolas" w:eastAsiaTheme="minorEastAsia" w:hAnsi="Consolas" w:cs="Consolas"/>
      <w:sz w:val="20"/>
      <w:szCs w:val="20"/>
      <w:lang w:val="en-US" w:eastAsia="en-US"/>
    </w:rPr>
  </w:style>
  <w:style w:type="table" w:styleId="MediumGrid1">
    <w:name w:val="Medium Grid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36750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36750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36750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36750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36750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36750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36750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6750A"/>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36750A"/>
    <w:rPr>
      <w:rFonts w:ascii="Times New Roman" w:hAnsi="Times New Roman" w:cs="Times New Roman"/>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rsid w:val="0036750A"/>
    <w:rPr>
      <w:rFonts w:eastAsiaTheme="minorEastAsia"/>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rsid w:val="0036750A"/>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rsid w:val="0036750A"/>
    <w:rPr>
      <w:rFonts w:eastAsiaTheme="minorEastAsia"/>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rsid w:val="0036750A"/>
    <w:rPr>
      <w:rFonts w:eastAsiaTheme="minorEastAsia"/>
      <w:sz w:val="24"/>
      <w:lang w:val="en-US" w:eastAsia="en-US"/>
    </w:rPr>
  </w:style>
  <w:style w:type="table" w:styleId="Table3Deffects1">
    <w:name w:val="Table 3D effects 1"/>
    <w:basedOn w:val="TableNormal"/>
    <w:uiPriority w:val="99"/>
    <w:semiHidden/>
    <w:rsid w:val="0036750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6750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6750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paragraph" w:customStyle="1" w:styleId="JuParaChar">
    <w:name w:val="Ju_Para Char"/>
    <w:basedOn w:val="Normal"/>
    <w:link w:val="JuParaCharChar"/>
    <w:rsid w:val="002922B9"/>
    <w:pPr>
      <w:suppressAutoHyphens/>
      <w:ind w:firstLine="284"/>
    </w:pPr>
    <w:rPr>
      <w:rFonts w:ascii="Times New Roman" w:eastAsia="Times New Roman" w:hAnsi="Times New Roman" w:cs="Times New Roman"/>
      <w:szCs w:val="20"/>
      <w:lang w:val="fr-FR" w:eastAsia="fr-FR"/>
    </w:rPr>
  </w:style>
  <w:style w:type="character" w:customStyle="1" w:styleId="JuParaCharChar">
    <w:name w:val="Ju_Para Char Char"/>
    <w:link w:val="JuParaChar"/>
    <w:rsid w:val="002922B9"/>
    <w:rPr>
      <w:rFonts w:ascii="Times New Roman" w:eastAsia="Times New Roman" w:hAnsi="Times New Roman" w:cs="Times New Roman"/>
      <w:sz w:val="24"/>
      <w:szCs w:val="20"/>
    </w:rPr>
  </w:style>
  <w:style w:type="character" w:customStyle="1" w:styleId="JuParaCar">
    <w:name w:val="Ju_Para Car"/>
    <w:link w:val="ECHRPara"/>
    <w:uiPriority w:val="12"/>
    <w:rsid w:val="002922B9"/>
    <w:rPr>
      <w:rFonts w:eastAsiaTheme="minorEastAsia"/>
      <w:sz w:val="24"/>
    </w:rPr>
  </w:style>
  <w:style w:type="character" w:customStyle="1" w:styleId="JuJudgesChar">
    <w:name w:val="Ju_Judges Char"/>
    <w:link w:val="ECHRDecisionBody"/>
    <w:rsid w:val="002922B9"/>
    <w:rPr>
      <w:rFonts w:eastAsiaTheme="minorEastAsia"/>
      <w:sz w:val="24"/>
    </w:rPr>
  </w:style>
  <w:style w:type="character" w:customStyle="1" w:styleId="JuHHeadChar">
    <w:name w:val="Ju_H_Head Char"/>
    <w:link w:val="ECHRTitle1"/>
    <w:rsid w:val="002922B9"/>
    <w:rPr>
      <w:rFonts w:asciiTheme="majorHAnsi" w:eastAsiaTheme="minorEastAsia" w:hAnsiTheme="majorHAnsi"/>
      <w:sz w:val="28"/>
    </w:rPr>
  </w:style>
  <w:style w:type="character" w:customStyle="1" w:styleId="sb8d990e2">
    <w:name w:val="sb8d990e2"/>
    <w:rsid w:val="002922B9"/>
  </w:style>
  <w:style w:type="character" w:customStyle="1" w:styleId="s6b621b36">
    <w:name w:val="s6b621b36"/>
    <w:rsid w:val="002922B9"/>
  </w:style>
  <w:style w:type="character" w:customStyle="1" w:styleId="sea881cdfhasverticalalignsuper">
    <w:name w:val="sea881cdf hasverticalalignsuper"/>
    <w:rsid w:val="002922B9"/>
  </w:style>
  <w:style w:type="character" w:customStyle="1" w:styleId="JuQuotChar">
    <w:name w:val="Ju_Quot Char"/>
    <w:link w:val="ECHRParaQuote"/>
    <w:rsid w:val="002922B9"/>
    <w:rPr>
      <w:rFonts w:eastAsiaTheme="minorEastAsia"/>
      <w:sz w:val="20"/>
    </w:rPr>
  </w:style>
  <w:style w:type="character" w:customStyle="1" w:styleId="sea881cdf">
    <w:name w:val="sea881cdf"/>
    <w:rsid w:val="002922B9"/>
  </w:style>
  <w:style w:type="character" w:customStyle="1" w:styleId="s23c0e8e7">
    <w:name w:val="s23c0e8e7"/>
    <w:rsid w:val="0029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76061-23B3-4B10-883B-216DE75EC938}"/>
</file>

<file path=customXml/itemProps2.xml><?xml version="1.0" encoding="utf-8"?>
<ds:datastoreItem xmlns:ds="http://schemas.openxmlformats.org/officeDocument/2006/customXml" ds:itemID="{72FF7B60-F1DA-4F79-9D8A-FAC357CE10BC}"/>
</file>

<file path=customXml/itemProps3.xml><?xml version="1.0" encoding="utf-8"?>
<ds:datastoreItem xmlns:ds="http://schemas.openxmlformats.org/officeDocument/2006/customXml" ds:itemID="{576EBFF1-25CD-440D-AA55-DC2B68B0D6D3}"/>
</file>

<file path=docProps/app.xml><?xml version="1.0" encoding="utf-8"?>
<Properties xmlns="http://schemas.openxmlformats.org/officeDocument/2006/extended-properties" xmlns:vt="http://schemas.openxmlformats.org/officeDocument/2006/docPropsVTypes">
  <Template>Normal</Template>
  <TotalTime>0</TotalTime>
  <Pages>1</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cp:lastPrinted>2005-12-21T06:57:00Z</cp:lastPrinted>
  <dcterms:created xsi:type="dcterms:W3CDTF">2014-02-06T13:01:00Z</dcterms:created>
  <dcterms:modified xsi:type="dcterms:W3CDTF">2014-02-06T13:01:00Z</dcterms:modified>
  <cp:category>ECHR Template</cp:category>
</cp:coreProperties>
</file>